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1993" w14:textId="4C950EC5" w:rsidR="000422C5" w:rsidRDefault="00151B35" w:rsidP="00401675">
      <w:pPr>
        <w:jc w:val="both"/>
      </w:pPr>
      <w:r w:rsidRPr="0033452C">
        <w:rPr>
          <w:highlight w:val="yellow"/>
        </w:rPr>
        <w:t>Monsieur le Préfet / Madame la Préfète</w:t>
      </w:r>
      <w:r w:rsidR="006A5B38">
        <w:t xml:space="preserve"> / </w:t>
      </w:r>
      <w:r w:rsidR="006A5B38" w:rsidRPr="00A4222E">
        <w:rPr>
          <w:highlight w:val="yellow"/>
        </w:rPr>
        <w:t>Monsieur le Président / Madame la Présidente du Conseil Départemental</w:t>
      </w:r>
      <w:r w:rsidRPr="00A4222E">
        <w:rPr>
          <w:highlight w:val="yellow"/>
        </w:rPr>
        <w:t>,</w:t>
      </w:r>
    </w:p>
    <w:p w14:paraId="196FB086" w14:textId="77777777" w:rsidR="00151B35" w:rsidRDefault="00151B35" w:rsidP="00401675">
      <w:pPr>
        <w:jc w:val="both"/>
      </w:pPr>
    </w:p>
    <w:p w14:paraId="5FA35A9F" w14:textId="7D2D4220" w:rsidR="00837E8C" w:rsidRDefault="00E311A8" w:rsidP="00D36D40">
      <w:pPr>
        <w:spacing w:after="80"/>
        <w:jc w:val="both"/>
      </w:pPr>
      <w:r>
        <w:t>A</w:t>
      </w:r>
      <w:r w:rsidR="000422C5">
        <w:t xml:space="preserve"> </w:t>
      </w:r>
      <w:r w:rsidR="00C77B41">
        <w:t xml:space="preserve">la </w:t>
      </w:r>
      <w:r w:rsidR="000422C5">
        <w:t xml:space="preserve">veille du début de la concertation sur la Programmation </w:t>
      </w:r>
      <w:r w:rsidR="00DF17AE">
        <w:t>P</w:t>
      </w:r>
      <w:r w:rsidR="000422C5">
        <w:t xml:space="preserve">luriannuelle </w:t>
      </w:r>
      <w:r w:rsidR="00837E8C">
        <w:t xml:space="preserve">de l’Energie </w:t>
      </w:r>
      <w:r w:rsidR="00837E8C" w:rsidRPr="009210FA">
        <w:t>(PPE3</w:t>
      </w:r>
      <w:r w:rsidR="00837E8C" w:rsidRPr="00BA28A7">
        <w:t>)</w:t>
      </w:r>
      <w:r w:rsidR="009210FA" w:rsidRPr="00BA28A7">
        <w:t xml:space="preserve"> </w:t>
      </w:r>
      <w:r>
        <w:t xml:space="preserve">plusieurs </w:t>
      </w:r>
      <w:bookmarkStart w:id="0" w:name="_GoBack"/>
      <w:r>
        <w:t xml:space="preserve">départements </w:t>
      </w:r>
      <w:r w:rsidR="006A3C4F">
        <w:t>ont fait part de leurs inquiétudes d</w:t>
      </w:r>
      <w:r w:rsidR="00837E8C">
        <w:t xml:space="preserve">e gaspillage d’argent public et d’augmentation du coût de </w:t>
      </w:r>
      <w:bookmarkEnd w:id="0"/>
      <w:r w:rsidR="00837E8C">
        <w:t>l’électricité pour les Français et les entreprises.</w:t>
      </w:r>
    </w:p>
    <w:p w14:paraId="60D26A9D" w14:textId="3913E334" w:rsidR="007B478C" w:rsidRPr="00BA28A7" w:rsidRDefault="007B478C" w:rsidP="00D36D40">
      <w:pPr>
        <w:spacing w:after="80"/>
        <w:jc w:val="both"/>
      </w:pPr>
      <w:r>
        <w:t>L</w:t>
      </w:r>
      <w:r w:rsidR="00837E8C">
        <w:t xml:space="preserve">es documents </w:t>
      </w:r>
      <w:r>
        <w:t xml:space="preserve">présentés </w:t>
      </w:r>
      <w:r w:rsidR="00837E8C">
        <w:t xml:space="preserve">le 4 novembre 2024 par la </w:t>
      </w:r>
      <w:r w:rsidR="00837E8C" w:rsidRPr="00BA28A7">
        <w:t xml:space="preserve">Direction </w:t>
      </w:r>
      <w:r w:rsidR="009210FA" w:rsidRPr="00BA28A7">
        <w:t>G</w:t>
      </w:r>
      <w:r w:rsidR="00837E8C" w:rsidRPr="00BA28A7">
        <w:t>énérale de l’Energie et du Climat</w:t>
      </w:r>
      <w:r w:rsidR="009210FA" w:rsidRPr="00BA28A7">
        <w:t xml:space="preserve"> </w:t>
      </w:r>
      <w:r w:rsidR="00837E8C" w:rsidRPr="00BA28A7">
        <w:t xml:space="preserve">ont confirmé </w:t>
      </w:r>
      <w:r w:rsidR="00A2624C">
        <w:t>les</w:t>
      </w:r>
      <w:r w:rsidR="00837E8C" w:rsidRPr="00BA28A7">
        <w:t xml:space="preserve"> inquiétudes </w:t>
      </w:r>
      <w:r w:rsidR="009210FA" w:rsidRPr="00BA28A7">
        <w:t>du fait d’</w:t>
      </w:r>
      <w:r w:rsidR="00837E8C" w:rsidRPr="00BA28A7">
        <w:t>hypothèses jugé</w:t>
      </w:r>
      <w:r w:rsidR="009210FA" w:rsidRPr="00BA28A7">
        <w:t>e</w:t>
      </w:r>
      <w:r w:rsidR="00837E8C" w:rsidRPr="00BA28A7">
        <w:t>s</w:t>
      </w:r>
      <w:r w:rsidR="00837E8C">
        <w:t xml:space="preserve"> irréalistes par l’ensemble des parties </w:t>
      </w:r>
      <w:r w:rsidR="00837E8C" w:rsidRPr="00DF17AE">
        <w:t>prenantes</w:t>
      </w:r>
      <w:r w:rsidRPr="00DF17AE">
        <w:t> :</w:t>
      </w:r>
      <w:r w:rsidR="009210FA" w:rsidRPr="00DF17AE">
        <w:t xml:space="preserve"> </w:t>
      </w:r>
      <w:r w:rsidR="00837E8C" w:rsidRPr="00DF17AE">
        <w:t>augm</w:t>
      </w:r>
      <w:r w:rsidR="00837E8C">
        <w:t xml:space="preserve">entation </w:t>
      </w:r>
      <w:r w:rsidR="009210FA" w:rsidRPr="00BA28A7">
        <w:t xml:space="preserve">excessive </w:t>
      </w:r>
      <w:r w:rsidR="00837E8C" w:rsidRPr="00BA28A7">
        <w:t xml:space="preserve">de la consommation électrique et </w:t>
      </w:r>
      <w:r w:rsidR="00FF62BF" w:rsidRPr="00BA28A7">
        <w:t>baisse</w:t>
      </w:r>
      <w:r w:rsidR="00837E8C" w:rsidRPr="00BA28A7">
        <w:t xml:space="preserve"> </w:t>
      </w:r>
      <w:r w:rsidRPr="00BA28A7">
        <w:t xml:space="preserve">massive </w:t>
      </w:r>
      <w:r w:rsidR="00837E8C" w:rsidRPr="00BA28A7">
        <w:t>des énergies fossiles</w:t>
      </w:r>
      <w:r w:rsidRPr="00BA28A7">
        <w:t xml:space="preserve"> en moins de 10 ans.</w:t>
      </w:r>
    </w:p>
    <w:p w14:paraId="191C42CF" w14:textId="36C6A432" w:rsidR="00837E8C" w:rsidRDefault="007B478C" w:rsidP="00D36D40">
      <w:pPr>
        <w:spacing w:after="80"/>
        <w:jc w:val="both"/>
      </w:pPr>
      <w:r w:rsidRPr="00BA28A7">
        <w:t>Ces hypothèses</w:t>
      </w:r>
      <w:r w:rsidR="009210FA" w:rsidRPr="00BA28A7">
        <w:t xml:space="preserve"> erronées</w:t>
      </w:r>
      <w:r w:rsidRPr="00BA28A7">
        <w:t xml:space="preserve"> </w:t>
      </w:r>
      <w:r w:rsidR="00BA28A7">
        <w:t>s</w:t>
      </w:r>
      <w:r w:rsidR="009210FA" w:rsidRPr="00BA28A7">
        <w:t>ont</w:t>
      </w:r>
      <w:r w:rsidR="009210FA">
        <w:t xml:space="preserve"> </w:t>
      </w:r>
      <w:r>
        <w:t xml:space="preserve">la seule justification à </w:t>
      </w:r>
      <w:r w:rsidR="00837E8C">
        <w:t>une accélération inutile de l’éolien terrestre, de l’éolien maritime et du solaire plein champ en zone agricole.</w:t>
      </w:r>
    </w:p>
    <w:p w14:paraId="6E41EC06" w14:textId="7DF90C98" w:rsidR="00FF62BF" w:rsidRDefault="00837E8C" w:rsidP="00D36D40">
      <w:pPr>
        <w:spacing w:after="80"/>
        <w:jc w:val="both"/>
      </w:pPr>
      <w:r>
        <w:t xml:space="preserve">362 </w:t>
      </w:r>
      <w:r w:rsidR="00FF62BF">
        <w:t>organismes se sont exprimés durant la concertation</w:t>
      </w:r>
      <w:r w:rsidR="007B478C">
        <w:t xml:space="preserve">, </w:t>
      </w:r>
      <w:r w:rsidR="00FF62BF">
        <w:t xml:space="preserve">à plus de 60%, </w:t>
      </w:r>
      <w:r w:rsidR="007B478C">
        <w:t xml:space="preserve">pour </w:t>
      </w:r>
      <w:r w:rsidR="00FF62BF">
        <w:t>propos</w:t>
      </w:r>
      <w:r w:rsidR="007B478C">
        <w:t>er</w:t>
      </w:r>
      <w:r w:rsidR="00FF62BF">
        <w:t xml:space="preserve"> </w:t>
      </w:r>
      <w:r w:rsidR="00005569">
        <w:t>une</w:t>
      </w:r>
      <w:r w:rsidR="00FF62BF">
        <w:t xml:space="preserve"> inflexion </w:t>
      </w:r>
      <w:r w:rsidR="00FF62BF" w:rsidRPr="00BA28A7">
        <w:t xml:space="preserve">significative </w:t>
      </w:r>
      <w:r w:rsidR="009210FA" w:rsidRPr="00BA28A7">
        <w:t xml:space="preserve">aux </w:t>
      </w:r>
      <w:r w:rsidR="00FF62BF" w:rsidRPr="00BA28A7">
        <w:t>orientations proposées</w:t>
      </w:r>
      <w:r w:rsidR="00BA28A7">
        <w:t xml:space="preserve">, </w:t>
      </w:r>
      <w:r w:rsidR="008F51EA" w:rsidRPr="00BA28A7">
        <w:t xml:space="preserve">révélant </w:t>
      </w:r>
      <w:r w:rsidR="00FF62BF" w:rsidRPr="00BA28A7">
        <w:t>des décalages</w:t>
      </w:r>
      <w:r w:rsidR="00FF62BF">
        <w:t xml:space="preserve"> croissants entre les attentes territoriales et une vision trop centralisée de la programmation, énergétique.</w:t>
      </w:r>
    </w:p>
    <w:p w14:paraId="57562864" w14:textId="0DF975F0" w:rsidR="00FF62BF" w:rsidRDefault="00A27819" w:rsidP="00D36D40">
      <w:pPr>
        <w:spacing w:after="80"/>
        <w:jc w:val="both"/>
      </w:pPr>
      <w:r w:rsidRPr="00A45DEC">
        <w:t>Le</w:t>
      </w:r>
      <w:r w:rsidR="00374BAC" w:rsidRPr="00A45DEC">
        <w:t xml:space="preserve"> constat </w:t>
      </w:r>
      <w:r w:rsidRPr="00A45DEC">
        <w:t xml:space="preserve">a été fait </w:t>
      </w:r>
      <w:r w:rsidR="00374BAC" w:rsidRPr="00A45DEC">
        <w:t>de la surproduction en France comme en Europe des capacités installées d’énergies</w:t>
      </w:r>
      <w:r w:rsidR="00374BAC">
        <w:t xml:space="preserve"> renouvelables électrique intermittentes et du manque de développement des énergies thermiques renouvelables qui permettent de décarboner </w:t>
      </w:r>
      <w:r w:rsidR="007B478C">
        <w:t xml:space="preserve">rapidement et </w:t>
      </w:r>
      <w:r w:rsidR="00374BAC">
        <w:t>directement</w:t>
      </w:r>
      <w:r w:rsidR="007B478C">
        <w:t xml:space="preserve"> les usages de la chaleur et de la </w:t>
      </w:r>
      <w:r w:rsidR="007B478C" w:rsidRPr="00BA28A7">
        <w:t>mobilité</w:t>
      </w:r>
      <w:r w:rsidR="008F51EA" w:rsidRPr="00BA28A7">
        <w:t>.</w:t>
      </w:r>
      <w:r w:rsidR="00374BAC">
        <w:t xml:space="preserve"> </w:t>
      </w:r>
    </w:p>
    <w:p w14:paraId="50BA7661" w14:textId="1D09DF7D" w:rsidR="00FF62BF" w:rsidRDefault="00374BAC" w:rsidP="00D36D40">
      <w:pPr>
        <w:spacing w:after="80"/>
        <w:jc w:val="both"/>
      </w:pPr>
      <w:r>
        <w:t xml:space="preserve">Cette surproduction est néfaste pour le prix de l’électricité car il </w:t>
      </w:r>
      <w:r w:rsidRPr="00BA28A7">
        <w:t>faut ajouter aux coûts de réseaux nécessaires pour créer un 2</w:t>
      </w:r>
      <w:r w:rsidRPr="00BA28A7">
        <w:rPr>
          <w:vertAlign w:val="superscript"/>
        </w:rPr>
        <w:t>ème</w:t>
      </w:r>
      <w:r w:rsidRPr="00BA28A7">
        <w:t xml:space="preserve"> réseau de distribution d’énergie</w:t>
      </w:r>
      <w:r w:rsidR="008F51EA" w:rsidRPr="00BA28A7">
        <w:t>,</w:t>
      </w:r>
      <w:r w:rsidRPr="00BA28A7">
        <w:t xml:space="preserve"> non prévisible et de mauvaise qualité</w:t>
      </w:r>
      <w:r w:rsidR="008F51EA" w:rsidRPr="00BA28A7">
        <w:t>, les coûts d’indemnisation des promoteurs quand leur production est arrêtée en cas de surproduction</w:t>
      </w:r>
      <w:r w:rsidR="007B478C" w:rsidRPr="00BA28A7">
        <w:t>.</w:t>
      </w:r>
    </w:p>
    <w:p w14:paraId="4AF8CDEA" w14:textId="77777777" w:rsidR="007B478C" w:rsidRDefault="00374BAC" w:rsidP="00D36D40">
      <w:pPr>
        <w:spacing w:after="80"/>
        <w:jc w:val="both"/>
      </w:pPr>
      <w:r>
        <w:t>Cette surproduction était jusqu’au 1</w:t>
      </w:r>
      <w:r w:rsidRPr="00374BAC">
        <w:rPr>
          <w:vertAlign w:val="superscript"/>
        </w:rPr>
        <w:t>er</w:t>
      </w:r>
      <w:r>
        <w:t xml:space="preserve"> avril 2025 néfaste pour notre outil nucléaire et le réseau de transport RTE.</w:t>
      </w:r>
    </w:p>
    <w:p w14:paraId="2DC385C0" w14:textId="0C65315D" w:rsidR="007B478C" w:rsidRPr="00BA28A7" w:rsidRDefault="00374BAC" w:rsidP="00D36D40">
      <w:pPr>
        <w:spacing w:after="80"/>
        <w:jc w:val="both"/>
      </w:pPr>
      <w:r w:rsidRPr="00BA28A7">
        <w:t>Depuis le 1</w:t>
      </w:r>
      <w:r w:rsidRPr="00BA28A7">
        <w:rPr>
          <w:vertAlign w:val="superscript"/>
        </w:rPr>
        <w:t>er</w:t>
      </w:r>
      <w:r w:rsidRPr="00BA28A7">
        <w:t xml:space="preserve"> avril </w:t>
      </w:r>
      <w:r w:rsidR="007B478C" w:rsidRPr="00BA28A7">
        <w:t>2025</w:t>
      </w:r>
      <w:r w:rsidR="00005569">
        <w:t xml:space="preserve"> (application de la PLF 2025)</w:t>
      </w:r>
      <w:r w:rsidR="008F51EA" w:rsidRPr="00BA28A7">
        <w:t>,</w:t>
      </w:r>
      <w:r w:rsidR="007B478C" w:rsidRPr="00BA28A7">
        <w:t xml:space="preserve"> l’effet technique et économique de modulation et d’arrêt des réacteurs nucléaires sera en partie réduit, mais l’effacement imposé à l’éolien et au solaire</w:t>
      </w:r>
      <w:r w:rsidRPr="00BA28A7">
        <w:t xml:space="preserve"> est toujours néfaste pour le réseau</w:t>
      </w:r>
      <w:r w:rsidR="007B478C" w:rsidRPr="00BA28A7">
        <w:t xml:space="preserve"> (besoin de flexibilité et de stabilité de la fréquence)</w:t>
      </w:r>
      <w:r w:rsidR="00DF17AE">
        <w:t>.</w:t>
      </w:r>
    </w:p>
    <w:p w14:paraId="53A66347" w14:textId="0BA63849" w:rsidR="00374BAC" w:rsidRPr="00BA28A7" w:rsidRDefault="008F51EA" w:rsidP="00D36D40">
      <w:pPr>
        <w:spacing w:after="80"/>
        <w:jc w:val="both"/>
      </w:pPr>
      <w:r w:rsidRPr="00BA28A7">
        <w:t xml:space="preserve">Paradoxalement, cette surproduction </w:t>
      </w:r>
      <w:r w:rsidR="00374BAC" w:rsidRPr="00BA28A7">
        <w:t>va contribuer à augmenter le coût de l‘électricité avec une croissance très</w:t>
      </w:r>
      <w:r w:rsidR="00DF17AE">
        <w:t xml:space="preserve"> </w:t>
      </w:r>
      <w:r w:rsidR="00374BAC" w:rsidRPr="00BA28A7">
        <w:t>élevée des indemnisations des promoteurs en raison des arrêts de plus en plus long et plus nombreux des champs éoliens et solaires</w:t>
      </w:r>
      <w:r w:rsidRPr="00BA28A7">
        <w:t xml:space="preserve">, dus à la croissance </w:t>
      </w:r>
      <w:r w:rsidR="006D4BC0">
        <w:t xml:space="preserve">non contrôlée </w:t>
      </w:r>
      <w:r w:rsidRPr="00BA28A7">
        <w:t>de leurs puissances installées en Europe</w:t>
      </w:r>
      <w:r w:rsidR="007B478C" w:rsidRPr="00BA28A7">
        <w:t>.</w:t>
      </w:r>
    </w:p>
    <w:p w14:paraId="1AC2921F" w14:textId="2E9954BE" w:rsidR="00401675" w:rsidRPr="00BA28A7" w:rsidRDefault="008A5338" w:rsidP="00D36D40">
      <w:pPr>
        <w:spacing w:after="80"/>
        <w:jc w:val="both"/>
      </w:pPr>
      <w:r>
        <w:t>Ces</w:t>
      </w:r>
      <w:r w:rsidR="00401675" w:rsidRPr="00BA28A7">
        <w:t xml:space="preserve"> alertes </w:t>
      </w:r>
      <w:r>
        <w:t xml:space="preserve">ont été portées </w:t>
      </w:r>
      <w:r w:rsidR="00401675" w:rsidRPr="00BA28A7">
        <w:t>en février et mars 2025 au</w:t>
      </w:r>
      <w:r w:rsidR="006D4BC0">
        <w:t>près des</w:t>
      </w:r>
      <w:r w:rsidR="00401675" w:rsidRPr="00BA28A7">
        <w:t xml:space="preserve"> cabinets du Premier Ministre et du </w:t>
      </w:r>
      <w:r w:rsidR="00BA28A7">
        <w:t>m</w:t>
      </w:r>
      <w:r w:rsidR="00401675" w:rsidRPr="00BA28A7">
        <w:t>inistre</w:t>
      </w:r>
      <w:r w:rsidR="001A39F6" w:rsidRPr="00BA28A7">
        <w:t xml:space="preserve"> </w:t>
      </w:r>
      <w:r w:rsidR="00401675" w:rsidRPr="00BA28A7">
        <w:t>de</w:t>
      </w:r>
      <w:r w:rsidR="001A39F6" w:rsidRPr="00BA28A7">
        <w:t xml:space="preserve"> </w:t>
      </w:r>
      <w:r w:rsidR="00401675" w:rsidRPr="00BA28A7">
        <w:t>l’Energie</w:t>
      </w:r>
      <w:r w:rsidR="001A39F6" w:rsidRPr="00BA28A7">
        <w:t>,</w:t>
      </w:r>
      <w:r w:rsidR="00401675" w:rsidRPr="00BA28A7">
        <w:t xml:space="preserve"> avant le lancement d’une nouvelle phase de consultation de la PPE3.</w:t>
      </w:r>
    </w:p>
    <w:p w14:paraId="2743EAEB" w14:textId="166C4E42" w:rsidR="007B478C" w:rsidRPr="00BA28A7" w:rsidRDefault="007B478C" w:rsidP="00D36D40">
      <w:pPr>
        <w:spacing w:after="80"/>
        <w:jc w:val="both"/>
      </w:pPr>
      <w:r w:rsidRPr="00BA28A7">
        <w:t>S</w:t>
      </w:r>
      <w:r w:rsidR="00401675" w:rsidRPr="00BA28A7">
        <w:t xml:space="preserve">ans </w:t>
      </w:r>
      <w:r w:rsidR="00DF17AE">
        <w:t>t</w:t>
      </w:r>
      <w:r w:rsidR="001A39F6" w:rsidRPr="00BA28A7">
        <w:t>enir compte d</w:t>
      </w:r>
      <w:r w:rsidR="00401675" w:rsidRPr="00BA28A7">
        <w:t>es alertes de la société civile lors de la concertation de l’automne 2024</w:t>
      </w:r>
      <w:r w:rsidRPr="00BA28A7">
        <w:t>, cette nouvelle phase propose au contraire de multiplier par 2 l’éolien terrestre, par 5 le solaire et par 37 l’éolien</w:t>
      </w:r>
      <w:r w:rsidR="00DF17AE">
        <w:t xml:space="preserve"> maritime</w:t>
      </w:r>
      <w:r w:rsidR="001A39F6" w:rsidRPr="00BA28A7">
        <w:t>,</w:t>
      </w:r>
      <w:r w:rsidRPr="00BA28A7">
        <w:t xml:space="preserve"> </w:t>
      </w:r>
      <w:r w:rsidR="00401675" w:rsidRPr="00BA28A7">
        <w:t>amplifia</w:t>
      </w:r>
      <w:r w:rsidRPr="00BA28A7">
        <w:t>n</w:t>
      </w:r>
      <w:r w:rsidR="00401675" w:rsidRPr="00BA28A7">
        <w:t xml:space="preserve">t </w:t>
      </w:r>
      <w:r w:rsidRPr="00BA28A7">
        <w:t xml:space="preserve">encore plus </w:t>
      </w:r>
      <w:r w:rsidR="00401675" w:rsidRPr="00BA28A7">
        <w:t>les risques que font porter les EnRi sur notre système productif de base pilotable</w:t>
      </w:r>
      <w:r w:rsidR="001A39F6" w:rsidRPr="00BA28A7">
        <w:t>.</w:t>
      </w:r>
    </w:p>
    <w:p w14:paraId="044C8C79" w14:textId="00E5E199" w:rsidR="00401675" w:rsidRPr="00BA28A7" w:rsidRDefault="007B478C" w:rsidP="00D36D40">
      <w:pPr>
        <w:spacing w:after="80"/>
        <w:jc w:val="both"/>
      </w:pPr>
      <w:r w:rsidRPr="00BA28A7">
        <w:t>De plus</w:t>
      </w:r>
      <w:r w:rsidR="001A39F6" w:rsidRPr="00BA28A7">
        <w:t>,</w:t>
      </w:r>
      <w:r w:rsidRPr="00BA28A7">
        <w:t xml:space="preserve"> le projet de décret ne prévoit pas</w:t>
      </w:r>
      <w:r w:rsidR="00401675" w:rsidRPr="00BA28A7">
        <w:t xml:space="preserve">, comme la loi le précise, de passer </w:t>
      </w:r>
      <w:r w:rsidRPr="00BA28A7">
        <w:t xml:space="preserve">au préalable </w:t>
      </w:r>
      <w:r w:rsidR="00401675" w:rsidRPr="00BA28A7">
        <w:t>par une loi de programmation énergétique au Parlement</w:t>
      </w:r>
      <w:r w:rsidRPr="00BA28A7">
        <w:t>. Aucune urgence ne justifie une telle décision.</w:t>
      </w:r>
      <w:r w:rsidR="00EC289F">
        <w:t xml:space="preserve"> </w:t>
      </w:r>
    </w:p>
    <w:p w14:paraId="47DB5183" w14:textId="1567F83B" w:rsidR="00401675" w:rsidRDefault="00401675" w:rsidP="00D36D40">
      <w:pPr>
        <w:spacing w:after="80"/>
        <w:jc w:val="both"/>
      </w:pPr>
      <w:r w:rsidRPr="00BA28A7">
        <w:t>Le résultat a été immédiat avec des levées de bouclier</w:t>
      </w:r>
      <w:r w:rsidR="00DF17AE">
        <w:t>s</w:t>
      </w:r>
      <w:r w:rsidRPr="00BA28A7">
        <w:t xml:space="preserve"> des parlementaires, des acteurs de la société civile</w:t>
      </w:r>
      <w:r w:rsidR="001A39F6" w:rsidRPr="00BA28A7">
        <w:t>,</w:t>
      </w:r>
      <w:r w:rsidRPr="00BA28A7">
        <w:t xml:space="preserve"> </w:t>
      </w:r>
      <w:r w:rsidR="001A39F6" w:rsidRPr="00BA28A7">
        <w:t xml:space="preserve">des </w:t>
      </w:r>
      <w:r w:rsidRPr="00BA28A7">
        <w:t xml:space="preserve">associations </w:t>
      </w:r>
      <w:r w:rsidR="001A39F6" w:rsidRPr="00BA28A7">
        <w:t>environnementales</w:t>
      </w:r>
      <w:r w:rsidRPr="00BA28A7">
        <w:t>, comme des acteurs de l’Energie et des scientifiques indépendants</w:t>
      </w:r>
      <w:r w:rsidR="001A39F6" w:rsidRPr="00BA28A7">
        <w:t>,</w:t>
      </w:r>
      <w:r w:rsidR="006D4BC0">
        <w:t xml:space="preserve"> appelant</w:t>
      </w:r>
      <w:r w:rsidRPr="00BA28A7">
        <w:t xml:space="preserve"> à la suspension de ce projet.</w:t>
      </w:r>
    </w:p>
    <w:p w14:paraId="33E07E21" w14:textId="1810F154" w:rsidR="00EA0C10" w:rsidRDefault="00401675" w:rsidP="00D36D40">
      <w:pPr>
        <w:spacing w:after="80"/>
        <w:jc w:val="both"/>
      </w:pPr>
      <w:r>
        <w:t xml:space="preserve">Après les 2 débats sans vote le 28 avril, à l’Assemblée nationale et le 6 mai au Sénat, il apparait que le Gouvernement envisage une reprise en profondeur </w:t>
      </w:r>
      <w:r w:rsidR="00EA0C10">
        <w:t>du document de programmation</w:t>
      </w:r>
      <w:r w:rsidR="006D4BC0">
        <w:t xml:space="preserve"> de la PPE3</w:t>
      </w:r>
      <w:r w:rsidR="00EA0C10">
        <w:t>, de le compléter par les éléments manquants et de réaliser un processus parlementaire conforme.</w:t>
      </w:r>
    </w:p>
    <w:p w14:paraId="263BF4E0" w14:textId="1EECC54A" w:rsidR="00EA0C10" w:rsidRPr="00BA28A7" w:rsidRDefault="00EA0C10" w:rsidP="00D36D40">
      <w:pPr>
        <w:spacing w:after="80"/>
        <w:jc w:val="both"/>
      </w:pPr>
      <w:r>
        <w:t xml:space="preserve">Aujourd’hui le calendrier </w:t>
      </w:r>
      <w:r w:rsidRPr="00BA28A7">
        <w:t>proposé semble</w:t>
      </w:r>
      <w:r w:rsidR="008C23D4" w:rsidRPr="00BA28A7">
        <w:t>,</w:t>
      </w:r>
      <w:r w:rsidRPr="00BA28A7">
        <w:t xml:space="preserve"> d’une part</w:t>
      </w:r>
      <w:r w:rsidR="008C23D4" w:rsidRPr="00BA28A7">
        <w:t>,</w:t>
      </w:r>
      <w:r w:rsidRPr="00BA28A7">
        <w:t xml:space="preserve"> dans une précipitation permanente qui est devenue la règle depuis près de 3 ans, et</w:t>
      </w:r>
      <w:r w:rsidR="008C23D4" w:rsidRPr="00BA28A7">
        <w:t>,</w:t>
      </w:r>
      <w:r w:rsidRPr="00BA28A7">
        <w:t xml:space="preserve"> d’autre part</w:t>
      </w:r>
      <w:r w:rsidR="008C23D4" w:rsidRPr="00BA28A7">
        <w:t>,</w:t>
      </w:r>
      <w:r w:rsidRPr="00BA28A7">
        <w:t xml:space="preserve"> manquer des préalables fondamentaux pour un débat démocratique et parlementaire efficace.</w:t>
      </w:r>
    </w:p>
    <w:p w14:paraId="331FFBCA" w14:textId="76F9C96A" w:rsidR="00EA0C10" w:rsidRPr="00BA28A7" w:rsidRDefault="00EA0C10" w:rsidP="00401675">
      <w:pPr>
        <w:jc w:val="both"/>
      </w:pPr>
      <w:r w:rsidRPr="00BA28A7">
        <w:lastRenderedPageBreak/>
        <w:t xml:space="preserve">Pour ces raisons nous vous faisons part de 6 demandes transmises aux députés et </w:t>
      </w:r>
      <w:r w:rsidR="00A5408F" w:rsidRPr="00BA28A7">
        <w:t xml:space="preserve">aux </w:t>
      </w:r>
      <w:r w:rsidRPr="00BA28A7">
        <w:t xml:space="preserve">sénateurs avant les récents débats </w:t>
      </w:r>
      <w:r w:rsidR="00A5408F" w:rsidRPr="00BA28A7">
        <w:t xml:space="preserve">au Parlement </w:t>
      </w:r>
      <w:r w:rsidRPr="00BA28A7">
        <w:t xml:space="preserve">sur la </w:t>
      </w:r>
      <w:r w:rsidR="008C23D4" w:rsidRPr="00BA28A7">
        <w:t>s</w:t>
      </w:r>
      <w:r w:rsidRPr="00BA28A7">
        <w:t xml:space="preserve">ouveraineté </w:t>
      </w:r>
      <w:r w:rsidR="00A5408F" w:rsidRPr="00BA28A7">
        <w:t>é</w:t>
      </w:r>
      <w:r w:rsidRPr="00BA28A7">
        <w:t>nergétique</w:t>
      </w:r>
      <w:r w:rsidR="00A5408F" w:rsidRPr="00BA28A7">
        <w:t> :</w:t>
      </w:r>
      <w:r w:rsidRPr="00BA28A7">
        <w:t xml:space="preserve"> </w:t>
      </w:r>
    </w:p>
    <w:p w14:paraId="771A2657" w14:textId="4E972034" w:rsidR="00673ED6" w:rsidRPr="00A45DEC" w:rsidRDefault="00673ED6" w:rsidP="00A45DEC">
      <w:pPr>
        <w:pStyle w:val="Paragraphedeliste"/>
      </w:pPr>
      <w:r w:rsidRPr="00A45DEC">
        <w:t>Moratoire de l’éolien terrestre, de l’éolien maritime et des champs solaires en zone agricole</w:t>
      </w:r>
    </w:p>
    <w:p w14:paraId="2776E08F" w14:textId="0CD187FF" w:rsidR="00673ED6" w:rsidRPr="00BA28A7" w:rsidRDefault="00080BCE" w:rsidP="00D36D40">
      <w:pPr>
        <w:spacing w:after="80"/>
        <w:jc w:val="both"/>
      </w:pPr>
      <w:r w:rsidRPr="00BA28A7">
        <w:t>C</w:t>
      </w:r>
      <w:r w:rsidR="00673ED6" w:rsidRPr="00BA28A7">
        <w:t xml:space="preserve">es demandes de moratoire </w:t>
      </w:r>
      <w:r w:rsidRPr="00BA28A7">
        <w:t xml:space="preserve">présentées dans l’Annexe1 sont pour 8 raisons communes à l’ensemble des 3 énergies et </w:t>
      </w:r>
      <w:r w:rsidR="008C23D4" w:rsidRPr="00BA28A7">
        <w:t xml:space="preserve">d’autres </w:t>
      </w:r>
      <w:r w:rsidRPr="00BA28A7">
        <w:t xml:space="preserve">spécifiques pour chacune d’entre elles. Elles ont été présentées </w:t>
      </w:r>
      <w:r w:rsidR="00673ED6" w:rsidRPr="00BA28A7">
        <w:t xml:space="preserve">au cabinet du Premier Ministre le 8 février </w:t>
      </w:r>
      <w:r w:rsidRPr="00BA28A7">
        <w:t xml:space="preserve">2025 et au cabinet du ministre de l’Energie le 13 mars 2025. Chacune de ces raisons précise les impacts techniques et économiques pour le système énergétique français. Nous attachons une grande importance à leur prise en compte, d’autant que ces faits sont maintenant connus de la grande majorité des Français après l’incident majeur survenu </w:t>
      </w:r>
      <w:r w:rsidR="00DF17AE">
        <w:t>récemment dans</w:t>
      </w:r>
      <w:r w:rsidRPr="00BA28A7">
        <w:t xml:space="preserve"> la péninsule ibérique.</w:t>
      </w:r>
      <w:r w:rsidR="00EC289F">
        <w:t xml:space="preserve"> </w:t>
      </w:r>
    </w:p>
    <w:p w14:paraId="155EDEBB" w14:textId="40AA189E" w:rsidR="00673ED6" w:rsidRDefault="00080BCE" w:rsidP="00D36D40">
      <w:pPr>
        <w:spacing w:after="80"/>
        <w:jc w:val="both"/>
      </w:pPr>
      <w:r w:rsidRPr="00BA28A7">
        <w:t>Il conviendra également de traiter la situation de</w:t>
      </w:r>
      <w:r w:rsidR="008C23D4" w:rsidRPr="00BA28A7">
        <w:t>s</w:t>
      </w:r>
      <w:r w:rsidRPr="00BA28A7">
        <w:t xml:space="preserve"> projets en cours d’instruction dont la mise en service conduirait à accentuer les risques maintenant révélés et les dépense</w:t>
      </w:r>
      <w:r w:rsidR="008C23D4" w:rsidRPr="00BA28A7">
        <w:t>s</w:t>
      </w:r>
      <w:r w:rsidRPr="00BA28A7">
        <w:t xml:space="preserve"> publiques correspondantes</w:t>
      </w:r>
      <w:r>
        <w:t>.</w:t>
      </w:r>
    </w:p>
    <w:p w14:paraId="7A40C40F" w14:textId="77777777" w:rsidR="00673ED6" w:rsidRPr="00080BCE" w:rsidRDefault="00673ED6" w:rsidP="00A45DEC">
      <w:pPr>
        <w:pStyle w:val="Paragraphedeliste"/>
      </w:pPr>
      <w:r w:rsidRPr="00080BCE">
        <w:t>Stop au gaspillage d’argent public et de destruction de l’environnement</w:t>
      </w:r>
    </w:p>
    <w:p w14:paraId="7E42EF91" w14:textId="0E9F776A" w:rsidR="00080BCE" w:rsidRPr="00BA28A7" w:rsidRDefault="00080BCE" w:rsidP="00D36D40">
      <w:pPr>
        <w:spacing w:after="80"/>
        <w:jc w:val="both"/>
      </w:pPr>
      <w:r w:rsidRPr="00BA28A7">
        <w:t>Du point de vue de l’intérêt général et en raison du caractère inutile et dangereux de nouveaux projets, ce serait à nos yeux une faute publique de persévérer dans l’engagement de nouvelle</w:t>
      </w:r>
      <w:r w:rsidR="001F76FB" w:rsidRPr="00BA28A7">
        <w:t>s</w:t>
      </w:r>
      <w:r w:rsidRPr="00BA28A7">
        <w:t xml:space="preserve"> dépenses publiques su</w:t>
      </w:r>
      <w:r w:rsidR="001F76FB" w:rsidRPr="00BA28A7">
        <w:t>r</w:t>
      </w:r>
      <w:r w:rsidRPr="00BA28A7">
        <w:t xml:space="preserve"> ces projets et de sacrifier inutilement les patrimoines historique, culturel, naturel et mémoriel de dizaine</w:t>
      </w:r>
      <w:r w:rsidR="001F76FB" w:rsidRPr="00BA28A7">
        <w:t>s</w:t>
      </w:r>
      <w:r w:rsidRPr="00BA28A7">
        <w:t xml:space="preserve"> de millions de Français</w:t>
      </w:r>
      <w:r w:rsidR="00CE48E3" w:rsidRPr="00BA28A7">
        <w:t>.</w:t>
      </w:r>
      <w:r w:rsidRPr="00BA28A7">
        <w:t xml:space="preserve"> </w:t>
      </w:r>
    </w:p>
    <w:p w14:paraId="129389A8" w14:textId="63798647" w:rsidR="00673ED6" w:rsidRPr="00BA28A7" w:rsidRDefault="00673ED6" w:rsidP="00A45DEC">
      <w:pPr>
        <w:pStyle w:val="Paragraphedeliste"/>
      </w:pPr>
      <w:r w:rsidRPr="00BA28A7">
        <w:t xml:space="preserve">Prise en compte des énergies vertes </w:t>
      </w:r>
      <w:r w:rsidR="00CE48E3" w:rsidRPr="00BA28A7">
        <w:t xml:space="preserve">thermiques renouvelables </w:t>
      </w:r>
      <w:r w:rsidRPr="00BA28A7">
        <w:t>dans la PPE</w:t>
      </w:r>
      <w:r w:rsidR="00CE48E3" w:rsidRPr="00BA28A7">
        <w:t>3</w:t>
      </w:r>
    </w:p>
    <w:p w14:paraId="5279836D" w14:textId="5ABCCC6B" w:rsidR="00CE48E3" w:rsidRPr="00BA28A7" w:rsidRDefault="006D4BC0" w:rsidP="00D36D40">
      <w:pPr>
        <w:spacing w:after="80"/>
        <w:jc w:val="both"/>
      </w:pPr>
      <w:r w:rsidRPr="00BA28A7">
        <w:t>En revanche</w:t>
      </w:r>
      <w:r w:rsidR="001F76FB" w:rsidRPr="00BA28A7">
        <w:t>,</w:t>
      </w:r>
      <w:r w:rsidR="00CE48E3" w:rsidRPr="00BA28A7">
        <w:t xml:space="preserve"> les enseignements </w:t>
      </w:r>
      <w:r w:rsidR="008A5338">
        <w:t>des</w:t>
      </w:r>
      <w:r w:rsidR="00CE48E3" w:rsidRPr="00BA28A7">
        <w:t xml:space="preserve"> échanges avec les élus et les agriculteurs dans de nombreux départements, et les résultats présentés récemment par le CEREMA le confirment : </w:t>
      </w:r>
      <w:r w:rsidR="001F76FB" w:rsidRPr="00BA28A7">
        <w:t>à</w:t>
      </w:r>
      <w:r w:rsidR="00CE48E3" w:rsidRPr="00BA28A7">
        <w:t xml:space="preserve"> plus de 50%, les maires souhaitent développer la géothermie de surface, les pompes à chaleur, les réseaux de chaleur, le biogaz, la biomasse et le PV en grande toiture.</w:t>
      </w:r>
    </w:p>
    <w:p w14:paraId="0C77A6D4" w14:textId="53997E12" w:rsidR="00CE48E3" w:rsidRPr="00BA28A7" w:rsidRDefault="00CE48E3" w:rsidP="00D36D40">
      <w:pPr>
        <w:spacing w:after="80"/>
        <w:jc w:val="both"/>
      </w:pPr>
      <w:r w:rsidRPr="00BA28A7">
        <w:t xml:space="preserve">Après avoir étudié plus de 40 départements, </w:t>
      </w:r>
      <w:r w:rsidR="0048116A">
        <w:t>RETM a</w:t>
      </w:r>
      <w:r w:rsidRPr="00BA28A7">
        <w:t xml:space="preserve"> estimé ce potentiel, avec un développement progressif et régulier sur tous les territoires français, entre 500 et 600 TWh en 2050 ce qui en ferait la 1</w:t>
      </w:r>
      <w:r w:rsidRPr="00BA28A7">
        <w:rPr>
          <w:vertAlign w:val="superscript"/>
        </w:rPr>
        <w:t>ère</w:t>
      </w:r>
      <w:r w:rsidRPr="00BA28A7">
        <w:t xml:space="preserve"> source d’énergie en France à cet horizon.</w:t>
      </w:r>
    </w:p>
    <w:p w14:paraId="4E23B61A" w14:textId="19BDBC48" w:rsidR="00CE48E3" w:rsidRPr="00BA28A7" w:rsidRDefault="00CE48E3" w:rsidP="00D36D40">
      <w:pPr>
        <w:spacing w:after="80"/>
        <w:jc w:val="both"/>
      </w:pPr>
      <w:r w:rsidRPr="00BA28A7">
        <w:t xml:space="preserve">Ce potentiel est sous-développé aujourd’hui en raison d’approches artisanales et insuffisamment soutenue dans une vision systémique par la puissance publique de l’amont à l’aval. </w:t>
      </w:r>
      <w:r w:rsidR="00A67E31">
        <w:t>RETM</w:t>
      </w:r>
      <w:r w:rsidRPr="00BA28A7">
        <w:t xml:space="preserve"> </w:t>
      </w:r>
      <w:r w:rsidR="00A67E31">
        <w:t>propose</w:t>
      </w:r>
      <w:r w:rsidRPr="00BA28A7">
        <w:t xml:space="preserve"> l’installation d’un guichet unique pour ces énergies dans chaque département et la montée en ressources et compétences des syndicats départementaux de l’</w:t>
      </w:r>
      <w:r w:rsidR="001F76FB" w:rsidRPr="00BA28A7">
        <w:t>é</w:t>
      </w:r>
      <w:r w:rsidRPr="00BA28A7">
        <w:t>nergie.</w:t>
      </w:r>
    </w:p>
    <w:p w14:paraId="6FF74E0E" w14:textId="77777777" w:rsidR="00EC289F" w:rsidRDefault="007938C8" w:rsidP="00D36D40">
      <w:pPr>
        <w:spacing w:after="80"/>
        <w:jc w:val="both"/>
      </w:pPr>
      <w:r>
        <w:t xml:space="preserve">Sur </w:t>
      </w:r>
      <w:r w:rsidR="00CE48E3" w:rsidRPr="00BA28A7">
        <w:t>cette base</w:t>
      </w:r>
      <w:r w:rsidR="001F76FB" w:rsidRPr="00BA28A7">
        <w:t>,</w:t>
      </w:r>
      <w:r w:rsidR="00CE48E3" w:rsidRPr="00BA28A7">
        <w:t xml:space="preserve"> des appels à manifestation d’intérêt lancé</w:t>
      </w:r>
      <w:r w:rsidR="001F76FB" w:rsidRPr="00BA28A7">
        <w:t>s</w:t>
      </w:r>
      <w:r w:rsidR="00CE48E3" w:rsidRPr="00BA28A7">
        <w:t xml:space="preserve"> par la puissance publique remplacer</w:t>
      </w:r>
      <w:r>
        <w:t>aie</w:t>
      </w:r>
      <w:r w:rsidR="00CE48E3" w:rsidRPr="00BA28A7">
        <w:t>nt avantageusement les appels d’offre</w:t>
      </w:r>
      <w:r w:rsidR="001F76FB" w:rsidRPr="00BA28A7">
        <w:t>s,</w:t>
      </w:r>
      <w:r w:rsidR="00CE48E3" w:rsidRPr="00BA28A7">
        <w:t xml:space="preserve"> </w:t>
      </w:r>
      <w:r>
        <w:t>désormais</w:t>
      </w:r>
      <w:r w:rsidR="00CE48E3" w:rsidRPr="00BA28A7">
        <w:t xml:space="preserve"> inutiles</w:t>
      </w:r>
      <w:r w:rsidR="001F76FB" w:rsidRPr="00BA28A7">
        <w:t>,</w:t>
      </w:r>
      <w:r w:rsidR="00CE48E3" w:rsidRPr="00BA28A7">
        <w:t xml:space="preserve"> lancé</w:t>
      </w:r>
      <w:r w:rsidR="001F76FB" w:rsidRPr="00BA28A7">
        <w:t>s</w:t>
      </w:r>
      <w:r w:rsidR="00CE48E3" w:rsidRPr="00BA28A7">
        <w:t xml:space="preserve"> par la Commission de </w:t>
      </w:r>
      <w:r w:rsidR="001F76FB" w:rsidRPr="00BA28A7">
        <w:t>R</w:t>
      </w:r>
      <w:r w:rsidR="00CE48E3" w:rsidRPr="00BA28A7">
        <w:t>égulation de l’Energie pour l’éolien et le solaire, et permettr</w:t>
      </w:r>
      <w:r>
        <w:t>aien</w:t>
      </w:r>
      <w:r w:rsidR="00CE48E3" w:rsidRPr="00BA28A7">
        <w:t>t une véritable réindustrialisation de tous les territoires français.</w:t>
      </w:r>
    </w:p>
    <w:p w14:paraId="5CDDDA1D" w14:textId="4F40472C" w:rsidR="00673ED6" w:rsidRPr="00662DAC" w:rsidRDefault="00673ED6" w:rsidP="00A45DEC">
      <w:pPr>
        <w:pStyle w:val="Paragraphedeliste"/>
      </w:pPr>
      <w:r w:rsidRPr="00662DAC">
        <w:t>Intérêt supérieur majeur de réduction du coût de l’électricité</w:t>
      </w:r>
    </w:p>
    <w:p w14:paraId="5FDA18C7" w14:textId="561891A9" w:rsidR="00CE48E3" w:rsidRDefault="00662DAC" w:rsidP="00D36D40">
      <w:pPr>
        <w:spacing w:after="80"/>
        <w:jc w:val="both"/>
      </w:pPr>
      <w:r>
        <w:t>L’explosion du prix de l’électricité (</w:t>
      </w:r>
      <w:r w:rsidR="007938C8">
        <w:t xml:space="preserve">depuis 15 ans </w:t>
      </w:r>
      <w:r>
        <w:t xml:space="preserve">doublement pour les particuliers et triplement pour les entreprises) est maintenant un risque </w:t>
      </w:r>
      <w:r w:rsidR="00A5408F">
        <w:t>significatif</w:t>
      </w:r>
      <w:r>
        <w:t xml:space="preserve"> pour le coût de la vie des Français et la compétitivité des entreprises.</w:t>
      </w:r>
    </w:p>
    <w:p w14:paraId="2842755C" w14:textId="399BD3E2" w:rsidR="00662DAC" w:rsidRPr="00BA28A7" w:rsidRDefault="00662DAC" w:rsidP="00D36D40">
      <w:pPr>
        <w:spacing w:after="80"/>
        <w:jc w:val="both"/>
      </w:pPr>
      <w:r>
        <w:t>C’est un intérêt public majeur français comme européen d’entreprendre toutes les actions pour réduire</w:t>
      </w:r>
      <w:r w:rsidR="000E5F12">
        <w:t xml:space="preserve"> ce risque</w:t>
      </w:r>
      <w:r>
        <w:t>, à commencer par les coûts les plus évidents à supprimer en raison de l’inutilité avérée en France de l’éolien et du solaire : supprimer les subventions pour les énergies inutiles et donc ne contribuant plus à la décarbonation de l’économie française, transférer aux opérateurs les coûts de réseaux liés à l’intermittence et</w:t>
      </w:r>
      <w:r w:rsidR="00A5408F">
        <w:t xml:space="preserve"> à</w:t>
      </w:r>
      <w:r w:rsidR="00EC289F">
        <w:t xml:space="preserve"> </w:t>
      </w:r>
      <w:r>
        <w:t xml:space="preserve">la flexibilité actuellement répercutés aux </w:t>
      </w:r>
      <w:r w:rsidRPr="00BA28A7">
        <w:t>contribuables, aux consommateurs et aux entreprises</w:t>
      </w:r>
      <w:r w:rsidR="000E5F12">
        <w:t xml:space="preserve">, et développe une fiscalité appropriée pour les promoteurs étrangers dont les profits remontent hors de France. </w:t>
      </w:r>
    </w:p>
    <w:p w14:paraId="270708D3" w14:textId="0AC67F1C" w:rsidR="00662DAC" w:rsidRDefault="00662DAC" w:rsidP="00D36D40">
      <w:pPr>
        <w:spacing w:after="80"/>
        <w:jc w:val="both"/>
      </w:pPr>
      <w:r w:rsidRPr="00BA28A7">
        <w:t xml:space="preserve">La production locale de PV en grande toiture en autoconsommation collective en circuit court, le remplacement des radiateurs électriques par des PAC R/R, le solaire thermique, la production de biogaz </w:t>
      </w:r>
      <w:proofErr w:type="gramStart"/>
      <w:r w:rsidRPr="00BA28A7">
        <w:t>contribueront</w:t>
      </w:r>
      <w:proofErr w:type="gramEnd"/>
      <w:r w:rsidR="00431918" w:rsidRPr="00BA28A7">
        <w:t xml:space="preserve"> </w:t>
      </w:r>
      <w:r w:rsidRPr="00BA28A7">
        <w:t xml:space="preserve">à notre souveraineté énergétique, à la décarbonation </w:t>
      </w:r>
      <w:r w:rsidR="001F76FB" w:rsidRPr="00BA28A7">
        <w:t xml:space="preserve">et </w:t>
      </w:r>
      <w:r w:rsidRPr="00BA28A7">
        <w:t xml:space="preserve">à la compétitivité de notre économie. Elles </w:t>
      </w:r>
      <w:r w:rsidR="00431918" w:rsidRPr="00BA28A7">
        <w:t xml:space="preserve">feront baisser les coûts de l’énergie, </w:t>
      </w:r>
      <w:r w:rsidR="00DF17AE">
        <w:t>car</w:t>
      </w:r>
      <w:r w:rsidRPr="00BA28A7">
        <w:t xml:space="preserve"> abondantes</w:t>
      </w:r>
      <w:r w:rsidR="00DF17AE">
        <w:t>, durables et</w:t>
      </w:r>
      <w:r w:rsidRPr="00BA28A7">
        <w:t xml:space="preserve"> disponibles rapidement sur la totalité </w:t>
      </w:r>
      <w:r w:rsidRPr="00BA28A7">
        <w:lastRenderedPageBreak/>
        <w:t xml:space="preserve">du territoire national, </w:t>
      </w:r>
      <w:r w:rsidR="00431918" w:rsidRPr="00BA28A7">
        <w:t xml:space="preserve">et </w:t>
      </w:r>
      <w:r w:rsidRPr="00BA28A7">
        <w:t>contribueront à la réindustrialisation</w:t>
      </w:r>
      <w:r w:rsidR="00431918" w:rsidRPr="00BA28A7">
        <w:t xml:space="preserve"> et au développement économique </w:t>
      </w:r>
      <w:r w:rsidR="00A5408F" w:rsidRPr="00BA28A7">
        <w:t>de façon juste et équ</w:t>
      </w:r>
      <w:r w:rsidR="001F76FB" w:rsidRPr="00BA28A7">
        <w:t>i</w:t>
      </w:r>
      <w:r w:rsidR="00A5408F" w:rsidRPr="00BA28A7">
        <w:t>librée</w:t>
      </w:r>
      <w:r w:rsidR="00431918" w:rsidRPr="00BA28A7">
        <w:t>.</w:t>
      </w:r>
    </w:p>
    <w:p w14:paraId="214B60C7" w14:textId="65D83C89" w:rsidR="00673ED6" w:rsidRPr="00431918" w:rsidRDefault="00673ED6" w:rsidP="00A45DEC">
      <w:pPr>
        <w:pStyle w:val="Paragraphedeliste"/>
      </w:pPr>
      <w:r w:rsidRPr="00431918">
        <w:t xml:space="preserve">Prise en compte de l’avis des élus et des enjeux de développement des territoires </w:t>
      </w:r>
    </w:p>
    <w:p w14:paraId="5A1AB16B" w14:textId="089A0289" w:rsidR="00431918" w:rsidRDefault="00431918" w:rsidP="00D36D40">
      <w:pPr>
        <w:spacing w:after="80"/>
        <w:jc w:val="both"/>
      </w:pPr>
      <w:r>
        <w:t>Pour que ces propositions réussissent, notamment dans les territoires ruraux ou littoraux, l’implication des élus et des acteurs territoriaux est essentielle. Les compétences disponibles au sein des Pôles d’</w:t>
      </w:r>
      <w:r w:rsidR="00DF17AE">
        <w:t>E</w:t>
      </w:r>
      <w:r>
        <w:t xml:space="preserve">quilibre </w:t>
      </w:r>
      <w:r w:rsidR="00DF17AE">
        <w:t>T</w:t>
      </w:r>
      <w:r>
        <w:t xml:space="preserve">erritoriaux et </w:t>
      </w:r>
      <w:r w:rsidR="00DF17AE">
        <w:t>R</w:t>
      </w:r>
      <w:r>
        <w:t>uraux</w:t>
      </w:r>
      <w:r w:rsidR="00A5408F">
        <w:t xml:space="preserve"> (PETR)</w:t>
      </w:r>
      <w:r>
        <w:t xml:space="preserve"> ou des Territoires d’industrie peuvent être mutualisées et coordonnées à l’échelle départementale, qui apparait en plus forte proximité avec les maires que l’échelon </w:t>
      </w:r>
      <w:r w:rsidR="00A5408F">
        <w:t>régional,</w:t>
      </w:r>
      <w:r>
        <w:t xml:space="preserve"> notamment pour le choix des sites de développement.</w:t>
      </w:r>
    </w:p>
    <w:p w14:paraId="6CD5CCA6" w14:textId="77777777" w:rsidR="00EC289F" w:rsidRDefault="00431918" w:rsidP="00D36D40">
      <w:pPr>
        <w:spacing w:after="80"/>
        <w:jc w:val="both"/>
      </w:pPr>
      <w:r>
        <w:t xml:space="preserve">Après l’expérimentation précipitée et sans cesse repoussée de la définition des ZADER, les prochains mois permettraient de structurer plus posément cette démarche </w:t>
      </w:r>
      <w:r w:rsidR="00A5408F">
        <w:t xml:space="preserve">au sein des territoires </w:t>
      </w:r>
      <w:r>
        <w:t xml:space="preserve">dans l’attente d’une loi de Programmation </w:t>
      </w:r>
      <w:r w:rsidR="002C4016">
        <w:t xml:space="preserve">et de Souveraineté énergétique </w:t>
      </w:r>
      <w:r>
        <w:t>sur le long terme (50 à 60 ans) et de son premier décret pluriannuel.</w:t>
      </w:r>
    </w:p>
    <w:p w14:paraId="05E999B0" w14:textId="53227B02" w:rsidR="00EA0C10" w:rsidRPr="002C4016" w:rsidRDefault="00673ED6" w:rsidP="00A45DEC">
      <w:pPr>
        <w:pStyle w:val="Paragraphedeliste"/>
      </w:pPr>
      <w:r w:rsidRPr="002C4016">
        <w:t xml:space="preserve">Reprise totale de la PPE3 notamment étude d’impact préalable </w:t>
      </w:r>
      <w:r w:rsidR="002C4016">
        <w:t>à l’</w:t>
      </w:r>
      <w:r w:rsidRPr="002C4016">
        <w:t>investissement public</w:t>
      </w:r>
    </w:p>
    <w:p w14:paraId="07A6CEDD" w14:textId="61F16FBE" w:rsidR="00EA0C10" w:rsidRDefault="002C4016" w:rsidP="00D36D40">
      <w:pPr>
        <w:spacing w:after="80"/>
        <w:jc w:val="both"/>
      </w:pPr>
      <w:r>
        <w:t xml:space="preserve">La reprise en profondeur de la PPE3 étant maintenant inéluctable, il est nécessaire qu’elle s’appuie enfin sur des bases rationnelles et solides avec une évaluation socio-économique permettant de comparer les performances </w:t>
      </w:r>
      <w:r w:rsidR="009B5E5C">
        <w:t xml:space="preserve">et impacts </w:t>
      </w:r>
      <w:r>
        <w:t>techniques, économiques, socia</w:t>
      </w:r>
      <w:r w:rsidR="009B5E5C">
        <w:t>ux</w:t>
      </w:r>
      <w:r>
        <w:t xml:space="preserve"> et environnementa</w:t>
      </w:r>
      <w:r w:rsidR="009B5E5C">
        <w:t>ux</w:t>
      </w:r>
      <w:r>
        <w:t xml:space="preserve"> de différents scénarios réalistes avant d’orienter des investissements publics de plusieurs centaines de milliards d’Euros pour les prochaines décennies</w:t>
      </w:r>
      <w:r w:rsidR="00A5408F">
        <w:t>.</w:t>
      </w:r>
    </w:p>
    <w:p w14:paraId="161E0E25" w14:textId="44D285AD" w:rsidR="00EA0C10" w:rsidRDefault="002C4016" w:rsidP="00D36D40">
      <w:pPr>
        <w:spacing w:after="80"/>
        <w:jc w:val="both"/>
      </w:pPr>
      <w:r>
        <w:t xml:space="preserve">Le manque </w:t>
      </w:r>
      <w:r w:rsidRPr="00BA28A7">
        <w:t>d</w:t>
      </w:r>
      <w:r w:rsidR="00DF60E0" w:rsidRPr="00BA28A7">
        <w:t>ans</w:t>
      </w:r>
      <w:r w:rsidRPr="00BA28A7">
        <w:t xml:space="preserve"> la PPE3 </w:t>
      </w:r>
      <w:r w:rsidR="00DF60E0" w:rsidRPr="00BA28A7">
        <w:t xml:space="preserve">d’une évaluation, </w:t>
      </w:r>
      <w:r w:rsidRPr="00BA28A7">
        <w:t xml:space="preserve">pourtant clairement définie par la loi </w:t>
      </w:r>
      <w:r w:rsidR="00A5408F" w:rsidRPr="00BA28A7">
        <w:t>et</w:t>
      </w:r>
      <w:r w:rsidRPr="00BA28A7">
        <w:t xml:space="preserve"> par les pratiques déjà mises en œuvre dans d’autre</w:t>
      </w:r>
      <w:r w:rsidR="00DF60E0" w:rsidRPr="00BA28A7">
        <w:t>s</w:t>
      </w:r>
      <w:r w:rsidRPr="00BA28A7">
        <w:t xml:space="preserve"> domaines de l’économie française, est probablement la raison du constat fait a</w:t>
      </w:r>
      <w:r w:rsidR="00A5408F" w:rsidRPr="00BA28A7">
        <w:t>ujourd’hui</w:t>
      </w:r>
      <w:r w:rsidRPr="00BA28A7">
        <w:t xml:space="preserve"> par pratiquement tous les acteurs</w:t>
      </w:r>
      <w:r>
        <w:t xml:space="preserve"> publics et privés</w:t>
      </w:r>
      <w:r w:rsidR="009B5E5C">
        <w:t xml:space="preserve"> concernés</w:t>
      </w:r>
      <w:r>
        <w:t>.</w:t>
      </w:r>
    </w:p>
    <w:p w14:paraId="79E2690A" w14:textId="42377D43" w:rsidR="002C4016" w:rsidRDefault="002C4016" w:rsidP="00D36D40">
      <w:pPr>
        <w:spacing w:after="80"/>
        <w:jc w:val="both"/>
      </w:pPr>
      <w:r>
        <w:t xml:space="preserve">Nous appelons de nos vœux une décision rapide sur ce sujet et avons déjà fait des propositions en ce sens à la mission </w:t>
      </w:r>
      <w:r w:rsidR="00BA28A7">
        <w:t xml:space="preserve">parlementaire </w:t>
      </w:r>
      <w:r>
        <w:t>ARMAND/GREMILLET.</w:t>
      </w:r>
    </w:p>
    <w:p w14:paraId="70AC555B" w14:textId="11263E60" w:rsidR="00F90AA0" w:rsidRDefault="00F90AA0" w:rsidP="00D36D40">
      <w:pPr>
        <w:spacing w:after="80"/>
        <w:jc w:val="both"/>
      </w:pPr>
      <w:r>
        <w:t xml:space="preserve">Nous souhaitons échanger avec vous sur ces 6 demandes, </w:t>
      </w:r>
      <w:r w:rsidR="00C03A86">
        <w:t xml:space="preserve">qui concernent </w:t>
      </w:r>
      <w:r>
        <w:t xml:space="preserve">notre département </w:t>
      </w:r>
      <w:r w:rsidR="00C03A86">
        <w:t>comme</w:t>
      </w:r>
      <w:r>
        <w:t xml:space="preserve"> notre pays.</w:t>
      </w:r>
    </w:p>
    <w:p w14:paraId="1E537C9F" w14:textId="7F9BFF1B" w:rsidR="00F90AA0" w:rsidRDefault="00F90AA0" w:rsidP="00D36D40">
      <w:pPr>
        <w:spacing w:after="80"/>
        <w:jc w:val="both"/>
      </w:pPr>
      <w:r>
        <w:t>Dans l’attente de votre retour, n</w:t>
      </w:r>
      <w:r w:rsidRPr="0033452C">
        <w:t xml:space="preserve">ous vous prions d’agréer, </w:t>
      </w:r>
      <w:r w:rsidRPr="00A4222E">
        <w:rPr>
          <w:highlight w:val="yellow"/>
        </w:rPr>
        <w:t xml:space="preserve">Monsieur le Préfet / Madame la Préfète, </w:t>
      </w:r>
      <w:r w:rsidR="00A4222E" w:rsidRPr="00A4222E">
        <w:rPr>
          <w:highlight w:val="yellow"/>
        </w:rPr>
        <w:t>Monsieur le Président / Madame la Présidente</w:t>
      </w:r>
      <w:r w:rsidR="00A4222E">
        <w:t xml:space="preserve"> </w:t>
      </w:r>
      <w:r w:rsidRPr="0033452C">
        <w:t>l’expression de notre haute considération.</w:t>
      </w:r>
    </w:p>
    <w:p w14:paraId="0835BF12" w14:textId="77777777" w:rsidR="00D36D40" w:rsidRDefault="00D36D40" w:rsidP="00D36D40">
      <w:pPr>
        <w:spacing w:after="80"/>
        <w:jc w:val="both"/>
        <w:rPr>
          <w:highlight w:val="yellow"/>
        </w:rPr>
      </w:pPr>
    </w:p>
    <w:p w14:paraId="03E09D48" w14:textId="66A23B3F" w:rsidR="00F90AA0" w:rsidRDefault="00D36D40" w:rsidP="00D36D40">
      <w:pPr>
        <w:spacing w:after="80"/>
        <w:jc w:val="both"/>
      </w:pPr>
      <w:r>
        <w:rPr>
          <w:highlight w:val="yellow"/>
        </w:rPr>
        <w:t>Date, s</w:t>
      </w:r>
      <w:r w:rsidR="00F90AA0" w:rsidRPr="001C57BB">
        <w:rPr>
          <w:highlight w:val="yellow"/>
        </w:rPr>
        <w:t>ignatures des élus et des associations et logos</w:t>
      </w:r>
    </w:p>
    <w:p w14:paraId="1C312605" w14:textId="2E234FEE" w:rsidR="00401675" w:rsidRDefault="00401675" w:rsidP="00401675">
      <w:pPr>
        <w:jc w:val="both"/>
      </w:pPr>
    </w:p>
    <w:p w14:paraId="0B35FE63" w14:textId="77777777" w:rsidR="007672DC" w:rsidRDefault="007672DC" w:rsidP="00401675">
      <w:pPr>
        <w:jc w:val="both"/>
      </w:pPr>
    </w:p>
    <w:p w14:paraId="261DAD57" w14:textId="77777777" w:rsidR="00D36D40" w:rsidRDefault="00D36D40" w:rsidP="00401675">
      <w:pPr>
        <w:jc w:val="both"/>
      </w:pPr>
    </w:p>
    <w:p w14:paraId="32AAC531" w14:textId="77777777" w:rsidR="00D36D40" w:rsidRDefault="00D36D40" w:rsidP="00401675">
      <w:pPr>
        <w:jc w:val="both"/>
      </w:pPr>
    </w:p>
    <w:p w14:paraId="476F1D70" w14:textId="77777777" w:rsidR="00D36D40" w:rsidRDefault="00D36D40" w:rsidP="00401675">
      <w:pPr>
        <w:jc w:val="both"/>
      </w:pPr>
    </w:p>
    <w:p w14:paraId="07490A73" w14:textId="77777777" w:rsidR="00381C72" w:rsidRDefault="00381C72" w:rsidP="00401675">
      <w:pPr>
        <w:jc w:val="both"/>
      </w:pPr>
    </w:p>
    <w:p w14:paraId="6D932607" w14:textId="77777777" w:rsidR="00D36D40" w:rsidRDefault="00D36D40" w:rsidP="00401675">
      <w:pPr>
        <w:jc w:val="both"/>
      </w:pPr>
    </w:p>
    <w:tbl>
      <w:tblPr>
        <w:tblW w:w="0" w:type="auto"/>
        <w:tblCellMar>
          <w:left w:w="0" w:type="dxa"/>
          <w:right w:w="0" w:type="dxa"/>
        </w:tblCellMar>
        <w:tblLook w:val="04A0" w:firstRow="1" w:lastRow="0" w:firstColumn="1" w:lastColumn="0" w:noHBand="0" w:noVBand="1"/>
      </w:tblPr>
      <w:tblGrid>
        <w:gridCol w:w="3020"/>
        <w:gridCol w:w="3021"/>
        <w:gridCol w:w="3021"/>
      </w:tblGrid>
      <w:tr w:rsidR="007672DC" w:rsidRPr="007672DC" w14:paraId="430711B1" w14:textId="77777777" w:rsidTr="007672DC">
        <w:tc>
          <w:tcPr>
            <w:tcW w:w="3020" w:type="dxa"/>
            <w:tcMar>
              <w:top w:w="0" w:type="dxa"/>
              <w:left w:w="108" w:type="dxa"/>
              <w:bottom w:w="0" w:type="dxa"/>
              <w:right w:w="108" w:type="dxa"/>
            </w:tcMar>
            <w:hideMark/>
          </w:tcPr>
          <w:p w14:paraId="1EB5EF38" w14:textId="23939F55" w:rsidR="007672DC" w:rsidRPr="007672DC" w:rsidRDefault="007672DC" w:rsidP="007672DC">
            <w:pPr>
              <w:spacing w:after="0" w:line="240" w:lineRule="auto"/>
              <w:jc w:val="center"/>
              <w:rPr>
                <w:b/>
                <w:bCs/>
              </w:rPr>
            </w:pPr>
            <w:r w:rsidRPr="007672DC">
              <w:rPr>
                <w:b/>
                <w:noProof/>
              </w:rPr>
              <w:drawing>
                <wp:inline distT="0" distB="0" distL="0" distR="0" wp14:anchorId="0B3C8F27" wp14:editId="6578B014">
                  <wp:extent cx="589091" cy="360000"/>
                  <wp:effectExtent l="0" t="0" r="1905" b="2540"/>
                  <wp:docPr id="158464188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091" cy="360000"/>
                          </a:xfrm>
                          <a:prstGeom prst="rect">
                            <a:avLst/>
                          </a:prstGeom>
                          <a:noFill/>
                          <a:ln>
                            <a:noFill/>
                          </a:ln>
                        </pic:spPr>
                      </pic:pic>
                    </a:graphicData>
                  </a:graphic>
                </wp:inline>
              </w:drawing>
            </w:r>
          </w:p>
        </w:tc>
        <w:tc>
          <w:tcPr>
            <w:tcW w:w="3021" w:type="dxa"/>
            <w:tcMar>
              <w:top w:w="0" w:type="dxa"/>
              <w:left w:w="108" w:type="dxa"/>
              <w:bottom w:w="0" w:type="dxa"/>
              <w:right w:w="108" w:type="dxa"/>
            </w:tcMar>
            <w:hideMark/>
          </w:tcPr>
          <w:p w14:paraId="44A6E81F" w14:textId="1C6C8586" w:rsidR="007672DC" w:rsidRPr="007672DC" w:rsidRDefault="007672DC" w:rsidP="007672DC">
            <w:pPr>
              <w:spacing w:after="0" w:line="240" w:lineRule="auto"/>
              <w:jc w:val="center"/>
              <w:rPr>
                <w:b/>
                <w:bCs/>
              </w:rPr>
            </w:pPr>
            <w:r w:rsidRPr="007672DC">
              <w:rPr>
                <w:b/>
                <w:noProof/>
              </w:rPr>
              <w:drawing>
                <wp:inline distT="0" distB="0" distL="0" distR="0" wp14:anchorId="2D4C7115" wp14:editId="77327328">
                  <wp:extent cx="393334" cy="360000"/>
                  <wp:effectExtent l="0" t="0" r="6985" b="2540"/>
                  <wp:docPr id="726701247" name="Image 5" descr="Une image contenant texte, jaune, capture d’écran, graphique vector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texte, jaune, capture d’écran, graphique vectoriel&#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34" cy="360000"/>
                          </a:xfrm>
                          <a:prstGeom prst="rect">
                            <a:avLst/>
                          </a:prstGeom>
                          <a:noFill/>
                          <a:ln>
                            <a:noFill/>
                          </a:ln>
                        </pic:spPr>
                      </pic:pic>
                    </a:graphicData>
                  </a:graphic>
                </wp:inline>
              </w:drawing>
            </w:r>
          </w:p>
        </w:tc>
        <w:tc>
          <w:tcPr>
            <w:tcW w:w="3021" w:type="dxa"/>
            <w:tcMar>
              <w:top w:w="0" w:type="dxa"/>
              <w:left w:w="108" w:type="dxa"/>
              <w:bottom w:w="0" w:type="dxa"/>
              <w:right w:w="108" w:type="dxa"/>
            </w:tcMar>
            <w:hideMark/>
          </w:tcPr>
          <w:p w14:paraId="5223D09E" w14:textId="78C2D758" w:rsidR="007672DC" w:rsidRPr="007672DC" w:rsidRDefault="007672DC" w:rsidP="007672DC">
            <w:pPr>
              <w:spacing w:after="0" w:line="240" w:lineRule="auto"/>
              <w:jc w:val="center"/>
              <w:rPr>
                <w:b/>
                <w:bCs/>
              </w:rPr>
            </w:pPr>
            <w:r w:rsidRPr="007672DC">
              <w:rPr>
                <w:b/>
                <w:noProof/>
              </w:rPr>
              <w:drawing>
                <wp:inline distT="0" distB="0" distL="0" distR="0" wp14:anchorId="689B0905" wp14:editId="42EC1D72">
                  <wp:extent cx="360000" cy="360000"/>
                  <wp:effectExtent l="0" t="0" r="2540" b="2540"/>
                  <wp:docPr id="1921032205" name="Image 4" descr="Une image contenant Police, texte, roug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Police, texte, rouge, écriture manuscrit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7672DC" w:rsidRPr="007672DC" w14:paraId="07199CA9" w14:textId="77777777" w:rsidTr="007672DC">
        <w:tc>
          <w:tcPr>
            <w:tcW w:w="3020" w:type="dxa"/>
            <w:tcMar>
              <w:top w:w="0" w:type="dxa"/>
              <w:left w:w="108" w:type="dxa"/>
              <w:bottom w:w="0" w:type="dxa"/>
              <w:right w:w="108" w:type="dxa"/>
            </w:tcMar>
            <w:hideMark/>
          </w:tcPr>
          <w:p w14:paraId="013E9A68" w14:textId="77777777" w:rsidR="007672DC" w:rsidRPr="007672DC" w:rsidRDefault="007672DC" w:rsidP="007672DC">
            <w:pPr>
              <w:spacing w:after="0" w:line="240" w:lineRule="auto"/>
              <w:jc w:val="center"/>
              <w:rPr>
                <w:sz w:val="20"/>
                <w:szCs w:val="20"/>
              </w:rPr>
            </w:pPr>
            <w:r w:rsidRPr="007672DC">
              <w:rPr>
                <w:sz w:val="20"/>
                <w:szCs w:val="20"/>
              </w:rPr>
              <w:t>Vent des Maires</w:t>
            </w:r>
          </w:p>
        </w:tc>
        <w:tc>
          <w:tcPr>
            <w:tcW w:w="3021" w:type="dxa"/>
            <w:tcMar>
              <w:top w:w="0" w:type="dxa"/>
              <w:left w:w="108" w:type="dxa"/>
              <w:bottom w:w="0" w:type="dxa"/>
              <w:right w:w="108" w:type="dxa"/>
            </w:tcMar>
            <w:hideMark/>
          </w:tcPr>
          <w:p w14:paraId="59B638DC" w14:textId="77777777" w:rsidR="007672DC" w:rsidRPr="007672DC" w:rsidRDefault="007672DC" w:rsidP="007672DC">
            <w:pPr>
              <w:spacing w:after="0" w:line="240" w:lineRule="auto"/>
              <w:jc w:val="center"/>
              <w:rPr>
                <w:sz w:val="20"/>
                <w:szCs w:val="20"/>
              </w:rPr>
            </w:pPr>
            <w:r w:rsidRPr="007672DC">
              <w:rPr>
                <w:sz w:val="20"/>
                <w:szCs w:val="20"/>
              </w:rPr>
              <w:t xml:space="preserve">Réseau </w:t>
            </w:r>
            <w:proofErr w:type="spellStart"/>
            <w:r w:rsidRPr="007672DC">
              <w:rPr>
                <w:sz w:val="20"/>
                <w:szCs w:val="20"/>
              </w:rPr>
              <w:t>Energies</w:t>
            </w:r>
            <w:proofErr w:type="spellEnd"/>
            <w:r w:rsidRPr="007672DC">
              <w:rPr>
                <w:sz w:val="20"/>
                <w:szCs w:val="20"/>
              </w:rPr>
              <w:t xml:space="preserve"> </w:t>
            </w:r>
            <w:proofErr w:type="spellStart"/>
            <w:r w:rsidRPr="007672DC">
              <w:rPr>
                <w:sz w:val="20"/>
                <w:szCs w:val="20"/>
              </w:rPr>
              <w:t>Terre&amp;Mer</w:t>
            </w:r>
            <w:proofErr w:type="spellEnd"/>
          </w:p>
        </w:tc>
        <w:tc>
          <w:tcPr>
            <w:tcW w:w="3021" w:type="dxa"/>
            <w:tcMar>
              <w:top w:w="0" w:type="dxa"/>
              <w:left w:w="108" w:type="dxa"/>
              <w:bottom w:w="0" w:type="dxa"/>
              <w:right w:w="108" w:type="dxa"/>
            </w:tcMar>
            <w:hideMark/>
          </w:tcPr>
          <w:p w14:paraId="3EB028CA" w14:textId="77777777" w:rsidR="007672DC" w:rsidRPr="007672DC" w:rsidRDefault="007672DC" w:rsidP="007672DC">
            <w:pPr>
              <w:spacing w:after="0" w:line="240" w:lineRule="auto"/>
              <w:jc w:val="center"/>
              <w:rPr>
                <w:sz w:val="20"/>
                <w:szCs w:val="20"/>
              </w:rPr>
            </w:pPr>
            <w:r w:rsidRPr="007672DC">
              <w:rPr>
                <w:sz w:val="20"/>
                <w:szCs w:val="20"/>
              </w:rPr>
              <w:t>Vent de Colère</w:t>
            </w:r>
          </w:p>
        </w:tc>
      </w:tr>
      <w:tr w:rsidR="007672DC" w:rsidRPr="007672DC" w14:paraId="73972447" w14:textId="77777777" w:rsidTr="007672DC">
        <w:tc>
          <w:tcPr>
            <w:tcW w:w="3020" w:type="dxa"/>
            <w:tcMar>
              <w:top w:w="0" w:type="dxa"/>
              <w:left w:w="108" w:type="dxa"/>
              <w:bottom w:w="0" w:type="dxa"/>
              <w:right w:w="108" w:type="dxa"/>
            </w:tcMar>
            <w:hideMark/>
          </w:tcPr>
          <w:p w14:paraId="7C9BB99C" w14:textId="77777777" w:rsidR="007672DC" w:rsidRPr="007672DC" w:rsidRDefault="00C77B41" w:rsidP="007672DC">
            <w:pPr>
              <w:spacing w:after="0" w:line="240" w:lineRule="auto"/>
              <w:jc w:val="center"/>
              <w:rPr>
                <w:sz w:val="20"/>
                <w:szCs w:val="20"/>
              </w:rPr>
            </w:pPr>
            <w:hyperlink r:id="rId8" w:history="1">
              <w:r w:rsidR="007672DC" w:rsidRPr="007672DC">
                <w:rPr>
                  <w:rStyle w:val="Lienhypertexte"/>
                  <w:sz w:val="20"/>
                  <w:szCs w:val="20"/>
                </w:rPr>
                <w:t>www.ventdesmaires.fr</w:t>
              </w:r>
            </w:hyperlink>
          </w:p>
        </w:tc>
        <w:tc>
          <w:tcPr>
            <w:tcW w:w="3021" w:type="dxa"/>
            <w:tcMar>
              <w:top w:w="0" w:type="dxa"/>
              <w:left w:w="108" w:type="dxa"/>
              <w:bottom w:w="0" w:type="dxa"/>
              <w:right w:w="108" w:type="dxa"/>
            </w:tcMar>
            <w:hideMark/>
          </w:tcPr>
          <w:p w14:paraId="7D2C9B0A" w14:textId="77777777" w:rsidR="007672DC" w:rsidRPr="007672DC" w:rsidRDefault="00C77B41" w:rsidP="007672DC">
            <w:pPr>
              <w:spacing w:after="0" w:line="240" w:lineRule="auto"/>
              <w:jc w:val="center"/>
              <w:rPr>
                <w:sz w:val="20"/>
                <w:szCs w:val="20"/>
              </w:rPr>
            </w:pPr>
            <w:hyperlink r:id="rId9" w:history="1">
              <w:r w:rsidR="007672DC" w:rsidRPr="007672DC">
                <w:rPr>
                  <w:rStyle w:val="Lienhypertexte"/>
                  <w:sz w:val="20"/>
                  <w:szCs w:val="20"/>
                </w:rPr>
                <w:t>www.retm.fr</w:t>
              </w:r>
            </w:hyperlink>
          </w:p>
        </w:tc>
        <w:tc>
          <w:tcPr>
            <w:tcW w:w="3021" w:type="dxa"/>
            <w:tcMar>
              <w:top w:w="0" w:type="dxa"/>
              <w:left w:w="108" w:type="dxa"/>
              <w:bottom w:w="0" w:type="dxa"/>
              <w:right w:w="108" w:type="dxa"/>
            </w:tcMar>
            <w:hideMark/>
          </w:tcPr>
          <w:p w14:paraId="3344DB20" w14:textId="77777777" w:rsidR="007672DC" w:rsidRPr="007672DC" w:rsidRDefault="00C77B41" w:rsidP="007672DC">
            <w:pPr>
              <w:spacing w:after="0" w:line="240" w:lineRule="auto"/>
              <w:jc w:val="center"/>
              <w:rPr>
                <w:sz w:val="20"/>
                <w:szCs w:val="20"/>
              </w:rPr>
            </w:pPr>
            <w:hyperlink r:id="rId10" w:history="1">
              <w:r w:rsidR="007672DC" w:rsidRPr="007672DC">
                <w:rPr>
                  <w:rStyle w:val="Lienhypertexte"/>
                  <w:sz w:val="20"/>
                  <w:szCs w:val="20"/>
                </w:rPr>
                <w:t>www.ventdecolere.org</w:t>
              </w:r>
            </w:hyperlink>
          </w:p>
        </w:tc>
      </w:tr>
      <w:tr w:rsidR="007672DC" w:rsidRPr="007672DC" w14:paraId="0C1920EF" w14:textId="77777777" w:rsidTr="007672DC">
        <w:tc>
          <w:tcPr>
            <w:tcW w:w="3020" w:type="dxa"/>
            <w:tcMar>
              <w:top w:w="0" w:type="dxa"/>
              <w:left w:w="108" w:type="dxa"/>
              <w:bottom w:w="0" w:type="dxa"/>
              <w:right w:w="108" w:type="dxa"/>
            </w:tcMar>
            <w:hideMark/>
          </w:tcPr>
          <w:p w14:paraId="0857A6D7" w14:textId="77777777" w:rsidR="007672DC" w:rsidRPr="007672DC" w:rsidRDefault="00C77B41" w:rsidP="007672DC">
            <w:pPr>
              <w:spacing w:after="0" w:line="240" w:lineRule="auto"/>
              <w:jc w:val="center"/>
              <w:rPr>
                <w:sz w:val="20"/>
                <w:szCs w:val="20"/>
              </w:rPr>
            </w:pPr>
            <w:hyperlink r:id="rId11" w:history="1">
              <w:r w:rsidR="007672DC" w:rsidRPr="007672DC">
                <w:rPr>
                  <w:rStyle w:val="Lienhypertexte"/>
                  <w:sz w:val="20"/>
                  <w:szCs w:val="20"/>
                </w:rPr>
                <w:t>contact@ventdesmaires.fr</w:t>
              </w:r>
            </w:hyperlink>
          </w:p>
        </w:tc>
        <w:tc>
          <w:tcPr>
            <w:tcW w:w="3021" w:type="dxa"/>
            <w:tcMar>
              <w:top w:w="0" w:type="dxa"/>
              <w:left w:w="108" w:type="dxa"/>
              <w:bottom w:w="0" w:type="dxa"/>
              <w:right w:w="108" w:type="dxa"/>
            </w:tcMar>
            <w:hideMark/>
          </w:tcPr>
          <w:p w14:paraId="25A84113" w14:textId="77777777" w:rsidR="007672DC" w:rsidRPr="007672DC" w:rsidRDefault="00C77B41" w:rsidP="007672DC">
            <w:pPr>
              <w:spacing w:after="0" w:line="240" w:lineRule="auto"/>
              <w:jc w:val="center"/>
              <w:rPr>
                <w:sz w:val="20"/>
                <w:szCs w:val="20"/>
              </w:rPr>
            </w:pPr>
            <w:hyperlink r:id="rId12" w:history="1">
              <w:r w:rsidR="007672DC" w:rsidRPr="007672DC">
                <w:rPr>
                  <w:rStyle w:val="Lienhypertexte"/>
                  <w:sz w:val="20"/>
                  <w:szCs w:val="20"/>
                </w:rPr>
                <w:t>retm@retm.fr</w:t>
              </w:r>
            </w:hyperlink>
          </w:p>
        </w:tc>
        <w:tc>
          <w:tcPr>
            <w:tcW w:w="3021" w:type="dxa"/>
            <w:tcMar>
              <w:top w:w="0" w:type="dxa"/>
              <w:left w:w="108" w:type="dxa"/>
              <w:bottom w:w="0" w:type="dxa"/>
              <w:right w:w="108" w:type="dxa"/>
            </w:tcMar>
            <w:hideMark/>
          </w:tcPr>
          <w:p w14:paraId="42D54DDE" w14:textId="77777777" w:rsidR="007672DC" w:rsidRPr="007672DC" w:rsidRDefault="00C77B41" w:rsidP="007672DC">
            <w:pPr>
              <w:spacing w:after="0" w:line="240" w:lineRule="auto"/>
              <w:jc w:val="center"/>
              <w:rPr>
                <w:sz w:val="20"/>
                <w:szCs w:val="20"/>
              </w:rPr>
            </w:pPr>
            <w:hyperlink r:id="rId13" w:history="1">
              <w:r w:rsidR="007672DC" w:rsidRPr="007672DC">
                <w:rPr>
                  <w:rStyle w:val="Lienhypertexte"/>
                  <w:sz w:val="20"/>
                  <w:szCs w:val="20"/>
                </w:rPr>
                <w:t>contact@ventdecolere.org</w:t>
              </w:r>
            </w:hyperlink>
          </w:p>
        </w:tc>
      </w:tr>
    </w:tbl>
    <w:p w14:paraId="39898F41" w14:textId="77777777" w:rsidR="007672DC" w:rsidRDefault="007672DC" w:rsidP="00B903D3">
      <w:pPr>
        <w:jc w:val="both"/>
      </w:pPr>
    </w:p>
    <w:sectPr w:rsidR="007672DC" w:rsidSect="00A54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D6B38"/>
    <w:multiLevelType w:val="hybridMultilevel"/>
    <w:tmpl w:val="087CEF86"/>
    <w:lvl w:ilvl="0" w:tplc="7ABAB6B2">
      <w:start w:val="1"/>
      <w:numFmt w:val="decimal"/>
      <w:lvlText w:val="%1."/>
      <w:lvlJc w:val="left"/>
      <w:pPr>
        <w:tabs>
          <w:tab w:val="num" w:pos="720"/>
        </w:tabs>
        <w:ind w:left="720" w:hanging="360"/>
      </w:pPr>
    </w:lvl>
    <w:lvl w:ilvl="1" w:tplc="64125E1C" w:tentative="1">
      <w:start w:val="1"/>
      <w:numFmt w:val="decimal"/>
      <w:lvlText w:val="%2."/>
      <w:lvlJc w:val="left"/>
      <w:pPr>
        <w:tabs>
          <w:tab w:val="num" w:pos="1440"/>
        </w:tabs>
        <w:ind w:left="1440" w:hanging="360"/>
      </w:pPr>
    </w:lvl>
    <w:lvl w:ilvl="2" w:tplc="D020EF20" w:tentative="1">
      <w:start w:val="1"/>
      <w:numFmt w:val="decimal"/>
      <w:lvlText w:val="%3."/>
      <w:lvlJc w:val="left"/>
      <w:pPr>
        <w:tabs>
          <w:tab w:val="num" w:pos="2160"/>
        </w:tabs>
        <w:ind w:left="2160" w:hanging="360"/>
      </w:pPr>
    </w:lvl>
    <w:lvl w:ilvl="3" w:tplc="1F50A8DE" w:tentative="1">
      <w:start w:val="1"/>
      <w:numFmt w:val="decimal"/>
      <w:lvlText w:val="%4."/>
      <w:lvlJc w:val="left"/>
      <w:pPr>
        <w:tabs>
          <w:tab w:val="num" w:pos="2880"/>
        </w:tabs>
        <w:ind w:left="2880" w:hanging="360"/>
      </w:pPr>
    </w:lvl>
    <w:lvl w:ilvl="4" w:tplc="D108D3FC" w:tentative="1">
      <w:start w:val="1"/>
      <w:numFmt w:val="decimal"/>
      <w:lvlText w:val="%5."/>
      <w:lvlJc w:val="left"/>
      <w:pPr>
        <w:tabs>
          <w:tab w:val="num" w:pos="3600"/>
        </w:tabs>
        <w:ind w:left="3600" w:hanging="360"/>
      </w:pPr>
    </w:lvl>
    <w:lvl w:ilvl="5" w:tplc="0E6A65C6" w:tentative="1">
      <w:start w:val="1"/>
      <w:numFmt w:val="decimal"/>
      <w:lvlText w:val="%6."/>
      <w:lvlJc w:val="left"/>
      <w:pPr>
        <w:tabs>
          <w:tab w:val="num" w:pos="4320"/>
        </w:tabs>
        <w:ind w:left="4320" w:hanging="360"/>
      </w:pPr>
    </w:lvl>
    <w:lvl w:ilvl="6" w:tplc="E0B657EA" w:tentative="1">
      <w:start w:val="1"/>
      <w:numFmt w:val="decimal"/>
      <w:lvlText w:val="%7."/>
      <w:lvlJc w:val="left"/>
      <w:pPr>
        <w:tabs>
          <w:tab w:val="num" w:pos="5040"/>
        </w:tabs>
        <w:ind w:left="5040" w:hanging="360"/>
      </w:pPr>
    </w:lvl>
    <w:lvl w:ilvl="7" w:tplc="25EAC3EA" w:tentative="1">
      <w:start w:val="1"/>
      <w:numFmt w:val="decimal"/>
      <w:lvlText w:val="%8."/>
      <w:lvlJc w:val="left"/>
      <w:pPr>
        <w:tabs>
          <w:tab w:val="num" w:pos="5760"/>
        </w:tabs>
        <w:ind w:left="5760" w:hanging="360"/>
      </w:pPr>
    </w:lvl>
    <w:lvl w:ilvl="8" w:tplc="9F483E3C" w:tentative="1">
      <w:start w:val="1"/>
      <w:numFmt w:val="decimal"/>
      <w:lvlText w:val="%9."/>
      <w:lvlJc w:val="left"/>
      <w:pPr>
        <w:tabs>
          <w:tab w:val="num" w:pos="6480"/>
        </w:tabs>
        <w:ind w:left="6480" w:hanging="360"/>
      </w:pPr>
    </w:lvl>
  </w:abstractNum>
  <w:abstractNum w:abstractNumId="1" w15:restartNumberingAfterBreak="0">
    <w:nsid w:val="72126FFA"/>
    <w:multiLevelType w:val="hybridMultilevel"/>
    <w:tmpl w:val="272C1F56"/>
    <w:lvl w:ilvl="0" w:tplc="692054EC">
      <w:start w:val="1"/>
      <w:numFmt w:val="decimal"/>
      <w:pStyle w:val="Paragraphedelist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C5"/>
    <w:rsid w:val="00005569"/>
    <w:rsid w:val="000422C5"/>
    <w:rsid w:val="0007698F"/>
    <w:rsid w:val="00080BCE"/>
    <w:rsid w:val="000E5F12"/>
    <w:rsid w:val="00147BD5"/>
    <w:rsid w:val="00151B35"/>
    <w:rsid w:val="00187F6A"/>
    <w:rsid w:val="001A39F6"/>
    <w:rsid w:val="001F76FB"/>
    <w:rsid w:val="00234195"/>
    <w:rsid w:val="002C4016"/>
    <w:rsid w:val="00374BAC"/>
    <w:rsid w:val="00381C72"/>
    <w:rsid w:val="00401675"/>
    <w:rsid w:val="004215CE"/>
    <w:rsid w:val="00431918"/>
    <w:rsid w:val="0048116A"/>
    <w:rsid w:val="00662DAC"/>
    <w:rsid w:val="00673ED6"/>
    <w:rsid w:val="006A3C4F"/>
    <w:rsid w:val="006A5B38"/>
    <w:rsid w:val="006D4BC0"/>
    <w:rsid w:val="00744F90"/>
    <w:rsid w:val="007672DC"/>
    <w:rsid w:val="007938C8"/>
    <w:rsid w:val="00794912"/>
    <w:rsid w:val="007B478C"/>
    <w:rsid w:val="007E0EF2"/>
    <w:rsid w:val="00837E8C"/>
    <w:rsid w:val="008A5338"/>
    <w:rsid w:val="008C23D4"/>
    <w:rsid w:val="008F51EA"/>
    <w:rsid w:val="009210FA"/>
    <w:rsid w:val="00921C65"/>
    <w:rsid w:val="00924379"/>
    <w:rsid w:val="00936732"/>
    <w:rsid w:val="009B5E5C"/>
    <w:rsid w:val="00A2624C"/>
    <w:rsid w:val="00A27819"/>
    <w:rsid w:val="00A4222E"/>
    <w:rsid w:val="00A45DEC"/>
    <w:rsid w:val="00A5408F"/>
    <w:rsid w:val="00A67E31"/>
    <w:rsid w:val="00B903D3"/>
    <w:rsid w:val="00BA28A7"/>
    <w:rsid w:val="00BB5904"/>
    <w:rsid w:val="00C03A86"/>
    <w:rsid w:val="00C77B41"/>
    <w:rsid w:val="00CE48E3"/>
    <w:rsid w:val="00D36D40"/>
    <w:rsid w:val="00DF17AE"/>
    <w:rsid w:val="00DF60E0"/>
    <w:rsid w:val="00E311A8"/>
    <w:rsid w:val="00E75D8E"/>
    <w:rsid w:val="00EA0C10"/>
    <w:rsid w:val="00EC289F"/>
    <w:rsid w:val="00F75128"/>
    <w:rsid w:val="00F90AA0"/>
    <w:rsid w:val="00FB64BE"/>
    <w:rsid w:val="00FF6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3D0B"/>
  <w15:chartTrackingRefBased/>
  <w15:docId w15:val="{5353CA04-144D-45F4-85E9-9978B36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2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42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422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422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422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422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22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22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22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22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422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422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422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422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422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22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22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22C5"/>
    <w:rPr>
      <w:rFonts w:eastAsiaTheme="majorEastAsia" w:cstheme="majorBidi"/>
      <w:color w:val="272727" w:themeColor="text1" w:themeTint="D8"/>
    </w:rPr>
  </w:style>
  <w:style w:type="paragraph" w:styleId="Titre">
    <w:name w:val="Title"/>
    <w:basedOn w:val="Normal"/>
    <w:next w:val="Normal"/>
    <w:link w:val="TitreCar"/>
    <w:uiPriority w:val="10"/>
    <w:qFormat/>
    <w:rsid w:val="00042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22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22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22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22C5"/>
    <w:pPr>
      <w:spacing w:before="160"/>
      <w:jc w:val="center"/>
    </w:pPr>
    <w:rPr>
      <w:i/>
      <w:iCs/>
      <w:color w:val="404040" w:themeColor="text1" w:themeTint="BF"/>
    </w:rPr>
  </w:style>
  <w:style w:type="character" w:customStyle="1" w:styleId="CitationCar">
    <w:name w:val="Citation Car"/>
    <w:basedOn w:val="Policepardfaut"/>
    <w:link w:val="Citation"/>
    <w:uiPriority w:val="29"/>
    <w:rsid w:val="000422C5"/>
    <w:rPr>
      <w:i/>
      <w:iCs/>
      <w:color w:val="404040" w:themeColor="text1" w:themeTint="BF"/>
    </w:rPr>
  </w:style>
  <w:style w:type="paragraph" w:styleId="Paragraphedeliste">
    <w:name w:val="List Paragraph"/>
    <w:basedOn w:val="Normal"/>
    <w:uiPriority w:val="34"/>
    <w:qFormat/>
    <w:rsid w:val="00A45DEC"/>
    <w:pPr>
      <w:numPr>
        <w:numId w:val="2"/>
      </w:numPr>
      <w:contextualSpacing/>
      <w:jc w:val="both"/>
    </w:pPr>
    <w:rPr>
      <w:b/>
      <w:bCs/>
      <w:u w:val="single"/>
    </w:rPr>
  </w:style>
  <w:style w:type="character" w:styleId="Accentuationintense">
    <w:name w:val="Intense Emphasis"/>
    <w:basedOn w:val="Policepardfaut"/>
    <w:uiPriority w:val="21"/>
    <w:qFormat/>
    <w:rsid w:val="000422C5"/>
    <w:rPr>
      <w:i/>
      <w:iCs/>
      <w:color w:val="2F5496" w:themeColor="accent1" w:themeShade="BF"/>
    </w:rPr>
  </w:style>
  <w:style w:type="paragraph" w:styleId="Citationintense">
    <w:name w:val="Intense Quote"/>
    <w:basedOn w:val="Normal"/>
    <w:next w:val="Normal"/>
    <w:link w:val="CitationintenseCar"/>
    <w:uiPriority w:val="30"/>
    <w:qFormat/>
    <w:rsid w:val="00042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422C5"/>
    <w:rPr>
      <w:i/>
      <w:iCs/>
      <w:color w:val="2F5496" w:themeColor="accent1" w:themeShade="BF"/>
    </w:rPr>
  </w:style>
  <w:style w:type="character" w:styleId="Rfrenceintense">
    <w:name w:val="Intense Reference"/>
    <w:basedOn w:val="Policepardfaut"/>
    <w:uiPriority w:val="32"/>
    <w:qFormat/>
    <w:rsid w:val="000422C5"/>
    <w:rPr>
      <w:b/>
      <w:bCs/>
      <w:smallCaps/>
      <w:color w:val="2F5496" w:themeColor="accent1" w:themeShade="BF"/>
      <w:spacing w:val="5"/>
    </w:rPr>
  </w:style>
  <w:style w:type="character" w:styleId="Lienhypertexte">
    <w:name w:val="Hyperlink"/>
    <w:basedOn w:val="Policepardfaut"/>
    <w:uiPriority w:val="99"/>
    <w:unhideWhenUsed/>
    <w:rsid w:val="007672DC"/>
    <w:rPr>
      <w:color w:val="0563C1" w:themeColor="hyperlink"/>
      <w:u w:val="single"/>
    </w:rPr>
  </w:style>
  <w:style w:type="character" w:styleId="Mentionnonrsolue">
    <w:name w:val="Unresolved Mention"/>
    <w:basedOn w:val="Policepardfaut"/>
    <w:uiPriority w:val="99"/>
    <w:semiHidden/>
    <w:unhideWhenUsed/>
    <w:rsid w:val="0076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0410">
      <w:bodyDiv w:val="1"/>
      <w:marLeft w:val="0"/>
      <w:marRight w:val="0"/>
      <w:marTop w:val="0"/>
      <w:marBottom w:val="0"/>
      <w:divBdr>
        <w:top w:val="none" w:sz="0" w:space="0" w:color="auto"/>
        <w:left w:val="none" w:sz="0" w:space="0" w:color="auto"/>
        <w:bottom w:val="none" w:sz="0" w:space="0" w:color="auto"/>
        <w:right w:val="none" w:sz="0" w:space="0" w:color="auto"/>
      </w:divBdr>
    </w:div>
    <w:div w:id="994258207">
      <w:bodyDiv w:val="1"/>
      <w:marLeft w:val="0"/>
      <w:marRight w:val="0"/>
      <w:marTop w:val="0"/>
      <w:marBottom w:val="0"/>
      <w:divBdr>
        <w:top w:val="none" w:sz="0" w:space="0" w:color="auto"/>
        <w:left w:val="none" w:sz="0" w:space="0" w:color="auto"/>
        <w:bottom w:val="none" w:sz="0" w:space="0" w:color="auto"/>
        <w:right w:val="none" w:sz="0" w:space="0" w:color="auto"/>
      </w:divBdr>
      <w:divsChild>
        <w:div w:id="395667880">
          <w:marLeft w:val="720"/>
          <w:marRight w:val="0"/>
          <w:marTop w:val="0"/>
          <w:marBottom w:val="0"/>
          <w:divBdr>
            <w:top w:val="none" w:sz="0" w:space="0" w:color="auto"/>
            <w:left w:val="none" w:sz="0" w:space="0" w:color="auto"/>
            <w:bottom w:val="none" w:sz="0" w:space="0" w:color="auto"/>
            <w:right w:val="none" w:sz="0" w:space="0" w:color="auto"/>
          </w:divBdr>
        </w:div>
        <w:div w:id="818152883">
          <w:marLeft w:val="720"/>
          <w:marRight w:val="0"/>
          <w:marTop w:val="0"/>
          <w:marBottom w:val="0"/>
          <w:divBdr>
            <w:top w:val="none" w:sz="0" w:space="0" w:color="auto"/>
            <w:left w:val="none" w:sz="0" w:space="0" w:color="auto"/>
            <w:bottom w:val="none" w:sz="0" w:space="0" w:color="auto"/>
            <w:right w:val="none" w:sz="0" w:space="0" w:color="auto"/>
          </w:divBdr>
        </w:div>
        <w:div w:id="43413098">
          <w:marLeft w:val="720"/>
          <w:marRight w:val="0"/>
          <w:marTop w:val="0"/>
          <w:marBottom w:val="0"/>
          <w:divBdr>
            <w:top w:val="none" w:sz="0" w:space="0" w:color="auto"/>
            <w:left w:val="none" w:sz="0" w:space="0" w:color="auto"/>
            <w:bottom w:val="none" w:sz="0" w:space="0" w:color="auto"/>
            <w:right w:val="none" w:sz="0" w:space="0" w:color="auto"/>
          </w:divBdr>
        </w:div>
        <w:div w:id="867335256">
          <w:marLeft w:val="720"/>
          <w:marRight w:val="0"/>
          <w:marTop w:val="0"/>
          <w:marBottom w:val="0"/>
          <w:divBdr>
            <w:top w:val="none" w:sz="0" w:space="0" w:color="auto"/>
            <w:left w:val="none" w:sz="0" w:space="0" w:color="auto"/>
            <w:bottom w:val="none" w:sz="0" w:space="0" w:color="auto"/>
            <w:right w:val="none" w:sz="0" w:space="0" w:color="auto"/>
          </w:divBdr>
        </w:div>
        <w:div w:id="1289165097">
          <w:marLeft w:val="720"/>
          <w:marRight w:val="0"/>
          <w:marTop w:val="0"/>
          <w:marBottom w:val="0"/>
          <w:divBdr>
            <w:top w:val="none" w:sz="0" w:space="0" w:color="auto"/>
            <w:left w:val="none" w:sz="0" w:space="0" w:color="auto"/>
            <w:bottom w:val="none" w:sz="0" w:space="0" w:color="auto"/>
            <w:right w:val="none" w:sz="0" w:space="0" w:color="auto"/>
          </w:divBdr>
        </w:div>
        <w:div w:id="2130467054">
          <w:marLeft w:val="720"/>
          <w:marRight w:val="0"/>
          <w:marTop w:val="0"/>
          <w:marBottom w:val="0"/>
          <w:divBdr>
            <w:top w:val="none" w:sz="0" w:space="0" w:color="auto"/>
            <w:left w:val="none" w:sz="0" w:space="0" w:color="auto"/>
            <w:bottom w:val="none" w:sz="0" w:space="0" w:color="auto"/>
            <w:right w:val="none" w:sz="0" w:space="0" w:color="auto"/>
          </w:divBdr>
        </w:div>
      </w:divsChild>
    </w:div>
    <w:div w:id="19175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desmaires.fr" TargetMode="External"/><Relationship Id="rId13" Type="http://schemas.openxmlformats.org/officeDocument/2006/relationships/hyperlink" Target="mailto:contact@ventdecolere.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tm@ret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ntact@ventdesmaires.f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ventdecolere.org" TargetMode="External"/><Relationship Id="rId4" Type="http://schemas.openxmlformats.org/officeDocument/2006/relationships/webSettings" Target="webSettings.xml"/><Relationship Id="rId9" Type="http://schemas.openxmlformats.org/officeDocument/2006/relationships/hyperlink" Target="http://www.retm.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1688</Words>
  <Characters>9284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Bour</dc:creator>
  <cp:keywords/>
  <dc:description/>
  <cp:lastModifiedBy>Microsoft Office User</cp:lastModifiedBy>
  <cp:revision>6</cp:revision>
  <cp:lastPrinted>2025-05-06T07:48:00Z</cp:lastPrinted>
  <dcterms:created xsi:type="dcterms:W3CDTF">2025-05-07T16:54:00Z</dcterms:created>
  <dcterms:modified xsi:type="dcterms:W3CDTF">2025-05-10T16:41:00Z</dcterms:modified>
</cp:coreProperties>
</file>