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CellMar>
          <w:left w:w="0" w:type="dxa"/>
          <w:right w:w="0" w:type="dxa"/>
        </w:tblCellMar>
        <w:tblLook w:val="0000" w:firstRow="0" w:lastRow="0" w:firstColumn="0" w:lastColumn="0" w:noHBand="0" w:noVBand="0"/>
      </w:tblPr>
      <w:tblGrid>
        <w:gridCol w:w="6119"/>
        <w:gridCol w:w="3526"/>
      </w:tblGrid>
      <w:tr w:rsidR="0034758B" w:rsidRPr="00987CA2">
        <w:trPr>
          <w:trHeight w:val="2325"/>
        </w:trPr>
        <w:tc>
          <w:tcPr>
            <w:tcW w:w="6119" w:type="dxa"/>
          </w:tcPr>
          <w:p w:rsidR="0034758B" w:rsidRDefault="00C20C55">
            <w:pPr>
              <w:pStyle w:val="Contenudetableau"/>
              <w:rPr>
                <w:sz w:val="22"/>
                <w:szCs w:val="22"/>
              </w:rPr>
            </w:pPr>
            <w:r w:rsidRPr="00987CA2">
              <w:rPr>
                <w:sz w:val="22"/>
                <w:szCs w:val="22"/>
              </w:rPr>
              <w:t xml:space="preserve"> </w:t>
            </w:r>
            <w:r w:rsidR="00987CA2">
              <w:rPr>
                <w:sz w:val="22"/>
                <w:szCs w:val="22"/>
              </w:rPr>
              <w:t xml:space="preserve">L’association </w:t>
            </w:r>
            <w:r w:rsidR="00987CA2" w:rsidRPr="00987CA2">
              <w:rPr>
                <w:color w:val="FF0000"/>
                <w:sz w:val="22"/>
                <w:szCs w:val="22"/>
              </w:rPr>
              <w:t>XXXXX</w:t>
            </w:r>
          </w:p>
          <w:p w:rsidR="00987CA2" w:rsidRPr="00987CA2" w:rsidRDefault="00987CA2">
            <w:pPr>
              <w:pStyle w:val="Contenudetableau"/>
              <w:rPr>
                <w:sz w:val="22"/>
                <w:szCs w:val="22"/>
              </w:rPr>
            </w:pPr>
            <w:r>
              <w:rPr>
                <w:sz w:val="22"/>
                <w:szCs w:val="22"/>
              </w:rPr>
              <w:t xml:space="preserve">Adhérente </w:t>
            </w:r>
            <w:r w:rsidR="00C20C55">
              <w:rPr>
                <w:sz w:val="22"/>
                <w:szCs w:val="22"/>
              </w:rPr>
              <w:t>à</w:t>
            </w:r>
            <w:r>
              <w:rPr>
                <w:sz w:val="22"/>
                <w:szCs w:val="22"/>
              </w:rPr>
              <w:t xml:space="preserve"> OC.2E</w:t>
            </w:r>
          </w:p>
          <w:p w:rsidR="0034758B" w:rsidRPr="00987CA2" w:rsidRDefault="00C20C55">
            <w:pPr>
              <w:pStyle w:val="Titre2"/>
              <w:numPr>
                <w:ilvl w:val="1"/>
                <w:numId w:val="4"/>
              </w:numPr>
              <w:jc w:val="center"/>
              <w:rPr>
                <w:b w:val="0"/>
                <w:bCs w:val="0"/>
                <w:sz w:val="22"/>
                <w:szCs w:val="22"/>
              </w:rPr>
            </w:pPr>
            <w:r w:rsidRPr="00987CA2">
              <w:rPr>
                <w:noProof/>
                <w:sz w:val="22"/>
                <w:szCs w:val="22"/>
              </w:rPr>
              <w:drawing>
                <wp:anchor distT="0" distB="0" distL="0" distR="0" simplePos="0" relativeHeight="2" behindDoc="0" locked="0" layoutInCell="1" allowOverlap="1">
                  <wp:simplePos x="0" y="0"/>
                  <wp:positionH relativeFrom="column">
                    <wp:posOffset>-87630</wp:posOffset>
                  </wp:positionH>
                  <wp:positionV relativeFrom="paragraph">
                    <wp:posOffset>154940</wp:posOffset>
                  </wp:positionV>
                  <wp:extent cx="2227580" cy="9575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227580" cy="957580"/>
                          </a:xfrm>
                          <a:prstGeom prst="rect">
                            <a:avLst/>
                          </a:prstGeom>
                        </pic:spPr>
                      </pic:pic>
                    </a:graphicData>
                  </a:graphic>
                  <wp14:sizeRelH relativeFrom="margin">
                    <wp14:pctWidth>0</wp14:pctWidth>
                  </wp14:sizeRelH>
                  <wp14:sizeRelV relativeFrom="margin">
                    <wp14:pctHeight>0</wp14:pctHeight>
                  </wp14:sizeRelV>
                </wp:anchor>
              </w:drawing>
            </w:r>
          </w:p>
        </w:tc>
        <w:tc>
          <w:tcPr>
            <w:tcW w:w="3526" w:type="dxa"/>
          </w:tcPr>
          <w:p w:rsidR="00987CA2" w:rsidRDefault="00987CA2" w:rsidP="00987CA2">
            <w:pPr>
              <w:pStyle w:val="Contenudetableau"/>
              <w:rPr>
                <w:color w:val="FF0000"/>
                <w:sz w:val="22"/>
                <w:szCs w:val="22"/>
              </w:rPr>
            </w:pPr>
            <w:r>
              <w:rPr>
                <w:sz w:val="22"/>
                <w:szCs w:val="22"/>
              </w:rPr>
              <w:t xml:space="preserve">Le </w:t>
            </w:r>
            <w:r w:rsidRPr="00987CA2">
              <w:rPr>
                <w:color w:val="FF0000"/>
                <w:sz w:val="22"/>
                <w:szCs w:val="22"/>
              </w:rPr>
              <w:t>XXX</w:t>
            </w:r>
          </w:p>
          <w:p w:rsidR="00987CA2" w:rsidRDefault="00987CA2" w:rsidP="00987CA2">
            <w:pPr>
              <w:pStyle w:val="Contenudetableau"/>
              <w:rPr>
                <w:sz w:val="22"/>
                <w:szCs w:val="22"/>
              </w:rPr>
            </w:pPr>
          </w:p>
          <w:p w:rsidR="00987CA2" w:rsidRDefault="00987CA2" w:rsidP="00987CA2">
            <w:pPr>
              <w:pStyle w:val="Contenudetableau"/>
              <w:rPr>
                <w:sz w:val="22"/>
                <w:szCs w:val="22"/>
              </w:rPr>
            </w:pPr>
          </w:p>
          <w:p w:rsidR="00987CA2" w:rsidRDefault="00987CA2" w:rsidP="00987CA2">
            <w:pPr>
              <w:pStyle w:val="Contenudetableau"/>
              <w:rPr>
                <w:sz w:val="22"/>
                <w:szCs w:val="22"/>
              </w:rPr>
            </w:pPr>
          </w:p>
          <w:p w:rsidR="0034758B" w:rsidRPr="00987CA2" w:rsidRDefault="00987CA2" w:rsidP="00987CA2">
            <w:pPr>
              <w:pStyle w:val="Contenudetableau"/>
              <w:rPr>
                <w:color w:val="FF0000"/>
                <w:sz w:val="22"/>
                <w:szCs w:val="22"/>
              </w:rPr>
            </w:pPr>
            <w:r w:rsidRPr="00987CA2">
              <w:rPr>
                <w:sz w:val="22"/>
                <w:szCs w:val="22"/>
              </w:rPr>
              <w:t>À</w:t>
            </w:r>
            <w:r w:rsidR="00C20C55" w:rsidRPr="00987CA2">
              <w:rPr>
                <w:sz w:val="22"/>
                <w:szCs w:val="22"/>
              </w:rPr>
              <w:t xml:space="preserve"> l’attention des responsables</w:t>
            </w:r>
            <w:r>
              <w:rPr>
                <w:sz w:val="22"/>
                <w:szCs w:val="22"/>
              </w:rPr>
              <w:t xml:space="preserve"> </w:t>
            </w:r>
            <w:r w:rsidR="00C20C55" w:rsidRPr="00987CA2">
              <w:rPr>
                <w:sz w:val="22"/>
                <w:szCs w:val="22"/>
              </w:rPr>
              <w:t>d’établissements scolaires</w:t>
            </w:r>
          </w:p>
          <w:p w:rsidR="00987CA2" w:rsidRDefault="00C20C55" w:rsidP="00987CA2">
            <w:pPr>
              <w:pStyle w:val="Contenudetableau"/>
              <w:rPr>
                <w:sz w:val="22"/>
                <w:szCs w:val="22"/>
              </w:rPr>
            </w:pPr>
            <w:proofErr w:type="gramStart"/>
            <w:r w:rsidRPr="00987CA2">
              <w:rPr>
                <w:sz w:val="22"/>
                <w:szCs w:val="22"/>
              </w:rPr>
              <w:t>des</w:t>
            </w:r>
            <w:proofErr w:type="gramEnd"/>
            <w:r w:rsidRPr="00987CA2">
              <w:rPr>
                <w:sz w:val="22"/>
                <w:szCs w:val="22"/>
              </w:rPr>
              <w:t xml:space="preserve"> associations de parents d’élèves</w:t>
            </w:r>
            <w:r w:rsidR="00987CA2" w:rsidRPr="00987CA2">
              <w:rPr>
                <w:sz w:val="22"/>
                <w:szCs w:val="22"/>
              </w:rPr>
              <w:t xml:space="preserve"> </w:t>
            </w:r>
          </w:p>
          <w:p w:rsidR="0034758B" w:rsidRPr="00987CA2" w:rsidRDefault="00987CA2" w:rsidP="00987CA2">
            <w:pPr>
              <w:pStyle w:val="Contenudetableau"/>
              <w:rPr>
                <w:sz w:val="22"/>
                <w:szCs w:val="22"/>
              </w:rPr>
            </w:pPr>
            <w:proofErr w:type="gramStart"/>
            <w:r w:rsidRPr="00987CA2">
              <w:rPr>
                <w:sz w:val="22"/>
                <w:szCs w:val="22"/>
              </w:rPr>
              <w:t>et</w:t>
            </w:r>
            <w:proofErr w:type="gramEnd"/>
            <w:r w:rsidRPr="00987CA2">
              <w:rPr>
                <w:sz w:val="22"/>
                <w:szCs w:val="22"/>
              </w:rPr>
              <w:t xml:space="preserve"> des syndicats d’enseignants</w:t>
            </w:r>
          </w:p>
        </w:tc>
      </w:tr>
    </w:tbl>
    <w:p w:rsidR="00C20C55" w:rsidRDefault="00C20C55">
      <w:pPr>
        <w:jc w:val="both"/>
        <w:rPr>
          <w:bCs/>
          <w:sz w:val="22"/>
          <w:szCs w:val="22"/>
        </w:rPr>
      </w:pPr>
    </w:p>
    <w:p w:rsidR="00C20C55" w:rsidRDefault="00C20C55">
      <w:pPr>
        <w:jc w:val="both"/>
        <w:rPr>
          <w:bCs/>
          <w:sz w:val="22"/>
          <w:szCs w:val="22"/>
        </w:rPr>
      </w:pPr>
    </w:p>
    <w:p w:rsidR="00987CA2" w:rsidRPr="00987CA2" w:rsidRDefault="00987CA2">
      <w:pPr>
        <w:jc w:val="both"/>
        <w:rPr>
          <w:bCs/>
          <w:sz w:val="22"/>
          <w:szCs w:val="22"/>
        </w:rPr>
      </w:pPr>
      <w:r w:rsidRPr="00987CA2">
        <w:rPr>
          <w:bCs/>
          <w:sz w:val="22"/>
          <w:szCs w:val="22"/>
        </w:rPr>
        <w:t>Mesdames, messieurs,</w:t>
      </w:r>
    </w:p>
    <w:p w:rsidR="00987CA2" w:rsidRDefault="00987CA2">
      <w:pPr>
        <w:jc w:val="both"/>
        <w:rPr>
          <w:b/>
          <w:bCs/>
          <w:sz w:val="22"/>
          <w:szCs w:val="22"/>
        </w:rPr>
      </w:pPr>
    </w:p>
    <w:p w:rsidR="0034758B" w:rsidRPr="00987CA2" w:rsidRDefault="00C20C55">
      <w:pPr>
        <w:jc w:val="both"/>
        <w:rPr>
          <w:sz w:val="22"/>
          <w:szCs w:val="22"/>
        </w:rPr>
      </w:pPr>
      <w:r w:rsidRPr="00987CA2">
        <w:rPr>
          <w:b/>
          <w:bCs/>
          <w:sz w:val="22"/>
          <w:szCs w:val="22"/>
        </w:rPr>
        <w:t>Apprendre les énergies renouvelables : l’école doit jouer son rôle.</w:t>
      </w:r>
    </w:p>
    <w:p w:rsidR="00987CA2" w:rsidRDefault="00C20C55">
      <w:pPr>
        <w:spacing w:before="57" w:after="57"/>
        <w:jc w:val="both"/>
        <w:rPr>
          <w:sz w:val="22"/>
          <w:szCs w:val="22"/>
        </w:rPr>
      </w:pPr>
      <w:r w:rsidRPr="00987CA2">
        <w:rPr>
          <w:sz w:val="22"/>
          <w:szCs w:val="22"/>
        </w:rPr>
        <w:t xml:space="preserve">Des partenariats entre des établissements scolaires et des promoteurs d’énergie renouvelable posent question. </w:t>
      </w:r>
    </w:p>
    <w:p w:rsidR="0034758B" w:rsidRPr="00987CA2" w:rsidRDefault="00C20C55">
      <w:pPr>
        <w:spacing w:before="57" w:after="57"/>
        <w:jc w:val="both"/>
        <w:rPr>
          <w:sz w:val="22"/>
          <w:szCs w:val="22"/>
        </w:rPr>
      </w:pPr>
      <w:r w:rsidRPr="00987CA2">
        <w:rPr>
          <w:sz w:val="22"/>
          <w:szCs w:val="22"/>
        </w:rPr>
        <w:t>Ouvrir les jeunes aux réalités du monde professionnel est l’une des mission</w:t>
      </w:r>
      <w:r w:rsidR="00987CA2">
        <w:rPr>
          <w:sz w:val="22"/>
          <w:szCs w:val="22"/>
        </w:rPr>
        <w:t>s</w:t>
      </w:r>
      <w:r w:rsidRPr="00987CA2">
        <w:rPr>
          <w:sz w:val="22"/>
          <w:szCs w:val="22"/>
        </w:rPr>
        <w:t xml:space="preserve"> de l’école, mais le risque est d’exposer les élèves à des propos orientés, portés par des acteurs économiques ayant des intérêts financiers en lien direct avec les sujets abordés. </w:t>
      </w:r>
    </w:p>
    <w:p w:rsidR="00987CA2" w:rsidRDefault="00C20C55">
      <w:pPr>
        <w:jc w:val="both"/>
        <w:rPr>
          <w:sz w:val="22"/>
          <w:szCs w:val="22"/>
        </w:rPr>
      </w:pPr>
      <w:r w:rsidRPr="00987CA2">
        <w:rPr>
          <w:sz w:val="22"/>
          <w:szCs w:val="22"/>
        </w:rPr>
        <w:t xml:space="preserve">Il est à craindre, s’agissant par exemple de promoteurs de l’éolien ou du photovoltaïque, que derrière une intervention pédagogique se cache une opération d’influence visant de fait à promouvoir une filière industrielle. </w:t>
      </w:r>
    </w:p>
    <w:p w:rsidR="0034758B" w:rsidRDefault="00C20C55">
      <w:pPr>
        <w:jc w:val="both"/>
        <w:rPr>
          <w:sz w:val="22"/>
          <w:szCs w:val="22"/>
        </w:rPr>
      </w:pPr>
      <w:r w:rsidRPr="00987CA2">
        <w:rPr>
          <w:sz w:val="22"/>
          <w:szCs w:val="22"/>
        </w:rPr>
        <w:t xml:space="preserve">Le véritable enjeu, c’est l’instrumentalisation de l’éducation, par une confusion entre mission éducative de l’école et stratégie de communication industrielle. </w:t>
      </w:r>
    </w:p>
    <w:p w:rsidR="0034758B" w:rsidRDefault="00C20C55">
      <w:pPr>
        <w:spacing w:before="57" w:after="57"/>
        <w:jc w:val="both"/>
        <w:rPr>
          <w:sz w:val="22"/>
          <w:szCs w:val="22"/>
        </w:rPr>
      </w:pPr>
      <w:r w:rsidRPr="00987CA2">
        <w:rPr>
          <w:sz w:val="22"/>
          <w:szCs w:val="22"/>
        </w:rPr>
        <w:t xml:space="preserve">Dans le contexte de crise climatique et écologique, la formation des élèves sur des questions particulièrement sensibles comme la transition énergétique et les réponses à y apporter, ne saurait être laissée à la seule initiative des acteurs du secteur des énergies renouvelables et en suivant leur seule approche du sujet. </w:t>
      </w:r>
    </w:p>
    <w:p w:rsidR="00C20C55" w:rsidRPr="00987CA2" w:rsidRDefault="00C20C55">
      <w:pPr>
        <w:spacing w:before="57" w:after="57"/>
        <w:jc w:val="both"/>
        <w:rPr>
          <w:sz w:val="22"/>
          <w:szCs w:val="22"/>
        </w:rPr>
      </w:pPr>
    </w:p>
    <w:p w:rsidR="0034758B" w:rsidRDefault="00C20C55">
      <w:pPr>
        <w:jc w:val="both"/>
        <w:rPr>
          <w:sz w:val="22"/>
          <w:szCs w:val="22"/>
        </w:rPr>
      </w:pPr>
      <w:r w:rsidRPr="00987CA2">
        <w:rPr>
          <w:sz w:val="22"/>
          <w:szCs w:val="22"/>
        </w:rPr>
        <w:t xml:space="preserve">En effet, au-delà des données techniques concernant le développement de la production et de la consommation énergétique, de nombreux aspects méritent d’être abordés lors de </w:t>
      </w:r>
      <w:r w:rsidR="00987CA2">
        <w:rPr>
          <w:sz w:val="22"/>
          <w:szCs w:val="22"/>
        </w:rPr>
        <w:t xml:space="preserve">cours </w:t>
      </w:r>
      <w:r w:rsidR="0033066A">
        <w:rPr>
          <w:sz w:val="22"/>
          <w:szCs w:val="22"/>
        </w:rPr>
        <w:t xml:space="preserve">aux élèves </w:t>
      </w:r>
      <w:r w:rsidR="00987CA2">
        <w:rPr>
          <w:sz w:val="22"/>
          <w:szCs w:val="22"/>
        </w:rPr>
        <w:t>ou</w:t>
      </w:r>
      <w:r w:rsidRPr="00987CA2">
        <w:rPr>
          <w:sz w:val="22"/>
          <w:szCs w:val="22"/>
        </w:rPr>
        <w:t xml:space="preserve"> d</w:t>
      </w:r>
      <w:r w:rsidR="00987CA2">
        <w:rPr>
          <w:sz w:val="22"/>
          <w:szCs w:val="22"/>
        </w:rPr>
        <w:t>ans le cadre de</w:t>
      </w:r>
      <w:r w:rsidRPr="00987CA2">
        <w:rPr>
          <w:sz w:val="22"/>
          <w:szCs w:val="22"/>
        </w:rPr>
        <w:t xml:space="preserve"> formation professionnelle réalisées par les établissements d’enseignement. </w:t>
      </w:r>
    </w:p>
    <w:p w:rsidR="00C20C55" w:rsidRPr="00987CA2" w:rsidRDefault="00C20C55">
      <w:pPr>
        <w:jc w:val="both"/>
        <w:rPr>
          <w:sz w:val="22"/>
          <w:szCs w:val="22"/>
        </w:rPr>
      </w:pPr>
    </w:p>
    <w:p w:rsidR="0034758B" w:rsidRDefault="00C20C55">
      <w:pPr>
        <w:spacing w:before="57" w:after="57"/>
        <w:jc w:val="both"/>
        <w:rPr>
          <w:sz w:val="22"/>
          <w:szCs w:val="22"/>
        </w:rPr>
      </w:pPr>
      <w:r w:rsidRPr="00987CA2">
        <w:rPr>
          <w:sz w:val="22"/>
          <w:szCs w:val="22"/>
        </w:rPr>
        <w:t>Les questions éthiques, culturelles, économiques, écologiques et juridiques ne sont pas de la compétence des intervenants issus du secteur industriel. Les associations de protection de l’environnement et de la nature agréées au titre de la protection de l’environnement peuvent apporter une contribution utile lors de ces formations, en fonction de leurs disponibilités.</w:t>
      </w:r>
    </w:p>
    <w:p w:rsidR="00C20C55" w:rsidRDefault="00C20C55">
      <w:pPr>
        <w:spacing w:before="57" w:after="57"/>
        <w:jc w:val="both"/>
        <w:rPr>
          <w:sz w:val="22"/>
          <w:szCs w:val="22"/>
        </w:rPr>
      </w:pPr>
    </w:p>
    <w:p w:rsidR="0034758B" w:rsidRPr="00987CA2" w:rsidRDefault="00C20C55">
      <w:pPr>
        <w:spacing w:before="57" w:after="57"/>
        <w:jc w:val="both"/>
        <w:rPr>
          <w:sz w:val="22"/>
          <w:szCs w:val="22"/>
        </w:rPr>
      </w:pPr>
      <w:r w:rsidRPr="00987CA2">
        <w:rPr>
          <w:sz w:val="22"/>
          <w:szCs w:val="22"/>
        </w:rPr>
        <w:t>Parmi les sujets qui devraient enrichir l’approche pédagogique des énergies renouvelables, on peut citer </w:t>
      </w:r>
      <w:r w:rsidR="00025B3B">
        <w:rPr>
          <w:sz w:val="22"/>
          <w:szCs w:val="22"/>
        </w:rPr>
        <w:t>entre autres</w:t>
      </w:r>
      <w:r w:rsidRPr="00987CA2">
        <w:rPr>
          <w:sz w:val="22"/>
          <w:szCs w:val="22"/>
        </w:rPr>
        <w:t xml:space="preserve"> :</w:t>
      </w:r>
    </w:p>
    <w:p w:rsidR="00406294" w:rsidRDefault="00C20C55" w:rsidP="00406294">
      <w:pPr>
        <w:numPr>
          <w:ilvl w:val="0"/>
          <w:numId w:val="2"/>
        </w:numPr>
        <w:jc w:val="both"/>
        <w:rPr>
          <w:sz w:val="22"/>
          <w:szCs w:val="22"/>
        </w:rPr>
      </w:pPr>
      <w:proofErr w:type="gramStart"/>
      <w:r w:rsidRPr="00406294">
        <w:rPr>
          <w:sz w:val="22"/>
          <w:szCs w:val="22"/>
        </w:rPr>
        <w:t>la</w:t>
      </w:r>
      <w:proofErr w:type="gramEnd"/>
      <w:r w:rsidRPr="00406294">
        <w:rPr>
          <w:sz w:val="22"/>
          <w:szCs w:val="22"/>
        </w:rPr>
        <w:t xml:space="preserve"> sobriété énergétique, impérieuse en raison des limites planétaires des ressources</w:t>
      </w:r>
      <w:r w:rsidR="00406294" w:rsidRPr="00406294">
        <w:rPr>
          <w:sz w:val="22"/>
          <w:szCs w:val="22"/>
        </w:rPr>
        <w:t xml:space="preserve"> ; </w:t>
      </w:r>
    </w:p>
    <w:p w:rsidR="0034758B" w:rsidRPr="00406294" w:rsidRDefault="00C20C55" w:rsidP="00406294">
      <w:pPr>
        <w:numPr>
          <w:ilvl w:val="0"/>
          <w:numId w:val="2"/>
        </w:numPr>
        <w:jc w:val="both"/>
        <w:rPr>
          <w:sz w:val="22"/>
          <w:szCs w:val="22"/>
        </w:rPr>
      </w:pPr>
      <w:proofErr w:type="gramStart"/>
      <w:r w:rsidRPr="00406294">
        <w:rPr>
          <w:sz w:val="22"/>
          <w:szCs w:val="22"/>
        </w:rPr>
        <w:t>les</w:t>
      </w:r>
      <w:proofErr w:type="gramEnd"/>
      <w:r w:rsidRPr="00406294">
        <w:rPr>
          <w:sz w:val="22"/>
          <w:szCs w:val="22"/>
        </w:rPr>
        <w:t xml:space="preserve"> coûts sociaux et environnementaux des énergies renouvelables</w:t>
      </w:r>
      <w:r w:rsidR="0033066A" w:rsidRPr="00406294">
        <w:rPr>
          <w:sz w:val="22"/>
          <w:szCs w:val="22"/>
        </w:rPr>
        <w:t xml:space="preserve"> ; </w:t>
      </w:r>
      <w:r w:rsidRPr="00406294">
        <w:rPr>
          <w:sz w:val="22"/>
          <w:szCs w:val="22"/>
        </w:rPr>
        <w:t> </w:t>
      </w:r>
    </w:p>
    <w:p w:rsidR="0033066A" w:rsidRDefault="00C20C55">
      <w:pPr>
        <w:numPr>
          <w:ilvl w:val="0"/>
          <w:numId w:val="3"/>
        </w:numPr>
        <w:jc w:val="both"/>
        <w:rPr>
          <w:sz w:val="22"/>
          <w:szCs w:val="22"/>
        </w:rPr>
      </w:pPr>
      <w:proofErr w:type="gramStart"/>
      <w:r w:rsidRPr="00987CA2">
        <w:rPr>
          <w:sz w:val="22"/>
          <w:szCs w:val="22"/>
        </w:rPr>
        <w:t>la</w:t>
      </w:r>
      <w:proofErr w:type="gramEnd"/>
      <w:r w:rsidRPr="00987CA2">
        <w:rPr>
          <w:sz w:val="22"/>
          <w:szCs w:val="22"/>
        </w:rPr>
        <w:t xml:space="preserve"> </w:t>
      </w:r>
      <w:r w:rsidR="00F35305">
        <w:rPr>
          <w:sz w:val="22"/>
          <w:szCs w:val="22"/>
        </w:rPr>
        <w:t xml:space="preserve">nécessaire </w:t>
      </w:r>
      <w:r w:rsidRPr="00987CA2">
        <w:rPr>
          <w:sz w:val="22"/>
          <w:szCs w:val="22"/>
        </w:rPr>
        <w:t xml:space="preserve">participation des citoyens à l’élaboration des projets ayant un impact sur leur environnement ; </w:t>
      </w:r>
    </w:p>
    <w:p w:rsidR="00406294" w:rsidRDefault="00406294" w:rsidP="00F35305">
      <w:pPr>
        <w:numPr>
          <w:ilvl w:val="0"/>
          <w:numId w:val="3"/>
        </w:numPr>
        <w:jc w:val="both"/>
        <w:rPr>
          <w:sz w:val="22"/>
          <w:szCs w:val="22"/>
        </w:rPr>
      </w:pPr>
      <w:proofErr w:type="gramStart"/>
      <w:r>
        <w:rPr>
          <w:sz w:val="22"/>
          <w:szCs w:val="22"/>
        </w:rPr>
        <w:t>un</w:t>
      </w:r>
      <w:proofErr w:type="gramEnd"/>
      <w:r>
        <w:rPr>
          <w:sz w:val="22"/>
          <w:szCs w:val="22"/>
        </w:rPr>
        <w:t xml:space="preserve"> panorama des différents acteurs de la filière et de l’emploi réellement créé ;</w:t>
      </w:r>
    </w:p>
    <w:p w:rsidR="0034758B" w:rsidRPr="00F35305" w:rsidRDefault="00C20C55" w:rsidP="00F35305">
      <w:pPr>
        <w:numPr>
          <w:ilvl w:val="0"/>
          <w:numId w:val="3"/>
        </w:numPr>
        <w:jc w:val="both"/>
        <w:rPr>
          <w:sz w:val="22"/>
          <w:szCs w:val="22"/>
        </w:rPr>
      </w:pPr>
      <w:proofErr w:type="gramStart"/>
      <w:r w:rsidRPr="00F35305">
        <w:rPr>
          <w:sz w:val="22"/>
          <w:szCs w:val="22"/>
        </w:rPr>
        <w:t>les</w:t>
      </w:r>
      <w:proofErr w:type="gramEnd"/>
      <w:r w:rsidRPr="00F35305">
        <w:rPr>
          <w:sz w:val="22"/>
          <w:szCs w:val="22"/>
        </w:rPr>
        <w:t xml:space="preserve"> conflits entre intérêt public environnemental et intérêt privé industriel</w:t>
      </w:r>
      <w:r w:rsidR="00025B3B">
        <w:rPr>
          <w:sz w:val="22"/>
          <w:szCs w:val="22"/>
        </w:rPr>
        <w:t>…</w:t>
      </w:r>
    </w:p>
    <w:p w:rsidR="0033066A" w:rsidRPr="00987CA2" w:rsidRDefault="0033066A" w:rsidP="00F35305">
      <w:pPr>
        <w:ind w:left="720"/>
        <w:jc w:val="both"/>
        <w:rPr>
          <w:sz w:val="22"/>
          <w:szCs w:val="22"/>
        </w:rPr>
      </w:pPr>
    </w:p>
    <w:p w:rsidR="0033066A" w:rsidRDefault="00025B3B">
      <w:pPr>
        <w:spacing w:before="57" w:after="57"/>
        <w:jc w:val="both"/>
        <w:rPr>
          <w:sz w:val="22"/>
          <w:szCs w:val="22"/>
        </w:rPr>
      </w:pPr>
      <w:r>
        <w:rPr>
          <w:sz w:val="22"/>
          <w:szCs w:val="22"/>
        </w:rPr>
        <w:t>Ces sujets</w:t>
      </w:r>
      <w:r w:rsidR="00C20C55" w:rsidRPr="00987CA2">
        <w:rPr>
          <w:sz w:val="22"/>
          <w:szCs w:val="22"/>
        </w:rPr>
        <w:t xml:space="preserve"> méritent d’être abord</w:t>
      </w:r>
      <w:bookmarkStart w:id="0" w:name="_GoBack"/>
      <w:bookmarkEnd w:id="0"/>
      <w:r w:rsidR="00C20C55" w:rsidRPr="00987CA2">
        <w:rPr>
          <w:sz w:val="22"/>
          <w:szCs w:val="22"/>
        </w:rPr>
        <w:t>és pour apporter aux élèves des clefs de compréhension et des ouvertures sur tous ces aspects. Ainsi, l’école répondra-t-elle pleinement à sa mission d’instruction sur un sujet sérieux, en rapport avec l’urgence écologique.</w:t>
      </w:r>
    </w:p>
    <w:p w:rsidR="0033066A" w:rsidRDefault="0033066A">
      <w:pPr>
        <w:spacing w:before="57" w:after="57"/>
        <w:jc w:val="both"/>
        <w:rPr>
          <w:sz w:val="22"/>
          <w:szCs w:val="22"/>
        </w:rPr>
      </w:pPr>
    </w:p>
    <w:p w:rsidR="0034758B" w:rsidRDefault="0033066A">
      <w:pPr>
        <w:spacing w:before="57" w:after="57"/>
        <w:jc w:val="both"/>
        <w:rPr>
          <w:sz w:val="22"/>
          <w:szCs w:val="22"/>
        </w:rPr>
      </w:pPr>
      <w:r>
        <w:rPr>
          <w:sz w:val="22"/>
          <w:szCs w:val="22"/>
        </w:rPr>
        <w:t>No</w:t>
      </w:r>
      <w:r w:rsidR="00025B3B">
        <w:rPr>
          <w:sz w:val="22"/>
          <w:szCs w:val="22"/>
        </w:rPr>
        <w:t xml:space="preserve">s </w:t>
      </w:r>
      <w:proofErr w:type="spellStart"/>
      <w:r w:rsidR="00025B3B">
        <w:rPr>
          <w:sz w:val="22"/>
          <w:szCs w:val="22"/>
        </w:rPr>
        <w:t>adhérent-e</w:t>
      </w:r>
      <w:r>
        <w:rPr>
          <w:sz w:val="22"/>
          <w:szCs w:val="22"/>
        </w:rPr>
        <w:t>s</w:t>
      </w:r>
      <w:proofErr w:type="spellEnd"/>
      <w:r>
        <w:rPr>
          <w:sz w:val="22"/>
          <w:szCs w:val="22"/>
        </w:rPr>
        <w:t xml:space="preserve"> </w:t>
      </w:r>
      <w:r w:rsidR="00025B3B">
        <w:rPr>
          <w:sz w:val="22"/>
          <w:szCs w:val="22"/>
        </w:rPr>
        <w:t xml:space="preserve">se </w:t>
      </w:r>
      <w:r>
        <w:rPr>
          <w:sz w:val="22"/>
          <w:szCs w:val="22"/>
        </w:rPr>
        <w:t>tien</w:t>
      </w:r>
      <w:r w:rsidR="00025B3B">
        <w:rPr>
          <w:sz w:val="22"/>
          <w:szCs w:val="22"/>
        </w:rPr>
        <w:t>nen</w:t>
      </w:r>
      <w:r>
        <w:rPr>
          <w:sz w:val="22"/>
          <w:szCs w:val="22"/>
        </w:rPr>
        <w:t>t à votre disposition pour toute</w:t>
      </w:r>
      <w:r w:rsidR="004D73AB">
        <w:rPr>
          <w:sz w:val="22"/>
          <w:szCs w:val="22"/>
        </w:rPr>
        <w:t>s</w:t>
      </w:r>
      <w:r>
        <w:rPr>
          <w:sz w:val="22"/>
          <w:szCs w:val="22"/>
        </w:rPr>
        <w:t xml:space="preserve"> information</w:t>
      </w:r>
      <w:r w:rsidR="004D73AB">
        <w:rPr>
          <w:sz w:val="22"/>
          <w:szCs w:val="22"/>
        </w:rPr>
        <w:t>s</w:t>
      </w:r>
      <w:r>
        <w:rPr>
          <w:sz w:val="22"/>
          <w:szCs w:val="22"/>
        </w:rPr>
        <w:t xml:space="preserve"> complémentaire</w:t>
      </w:r>
      <w:r w:rsidR="004D73AB">
        <w:rPr>
          <w:sz w:val="22"/>
          <w:szCs w:val="22"/>
        </w:rPr>
        <w:t>s</w:t>
      </w:r>
      <w:r>
        <w:rPr>
          <w:sz w:val="22"/>
          <w:szCs w:val="22"/>
        </w:rPr>
        <w:t xml:space="preserve"> et disponible</w:t>
      </w:r>
      <w:r w:rsidR="00025B3B">
        <w:rPr>
          <w:sz w:val="22"/>
          <w:szCs w:val="22"/>
        </w:rPr>
        <w:t>s</w:t>
      </w:r>
      <w:r>
        <w:rPr>
          <w:sz w:val="22"/>
          <w:szCs w:val="22"/>
        </w:rPr>
        <w:t xml:space="preserve"> </w:t>
      </w:r>
      <w:r w:rsidR="00025B3B">
        <w:rPr>
          <w:sz w:val="22"/>
          <w:szCs w:val="22"/>
        </w:rPr>
        <w:t xml:space="preserve">pour </w:t>
      </w:r>
      <w:r w:rsidR="004D73AB">
        <w:rPr>
          <w:sz w:val="22"/>
          <w:szCs w:val="22"/>
        </w:rPr>
        <w:t xml:space="preserve">une </w:t>
      </w:r>
      <w:r w:rsidR="00025B3B">
        <w:rPr>
          <w:sz w:val="22"/>
          <w:szCs w:val="22"/>
        </w:rPr>
        <w:t>collaboration à des actions de formation.</w:t>
      </w:r>
    </w:p>
    <w:p w:rsidR="00025B3B" w:rsidRDefault="00025B3B">
      <w:pPr>
        <w:spacing w:before="57" w:after="57"/>
        <w:jc w:val="both"/>
        <w:rPr>
          <w:sz w:val="22"/>
          <w:szCs w:val="22"/>
        </w:rPr>
      </w:pPr>
    </w:p>
    <w:p w:rsidR="0033066A" w:rsidRDefault="0033066A">
      <w:pPr>
        <w:spacing w:before="57" w:after="57"/>
        <w:jc w:val="both"/>
        <w:rPr>
          <w:sz w:val="22"/>
          <w:szCs w:val="22"/>
        </w:rPr>
      </w:pPr>
      <w:r>
        <w:rPr>
          <w:sz w:val="22"/>
          <w:szCs w:val="22"/>
        </w:rPr>
        <w:t xml:space="preserve">Avec nos respectueuses salutations. </w:t>
      </w:r>
    </w:p>
    <w:p w:rsidR="00025B3B" w:rsidRPr="002019B2" w:rsidRDefault="00025B3B" w:rsidP="00025B3B">
      <w:pPr>
        <w:spacing w:before="57" w:after="57"/>
        <w:ind w:left="2836" w:firstLine="709"/>
        <w:jc w:val="both"/>
        <w:rPr>
          <w:color w:val="FF0000"/>
          <w:sz w:val="22"/>
          <w:szCs w:val="22"/>
        </w:rPr>
      </w:pPr>
      <w:r>
        <w:rPr>
          <w:sz w:val="22"/>
          <w:szCs w:val="22"/>
        </w:rPr>
        <w:t xml:space="preserve">Pour l’association </w:t>
      </w:r>
      <w:r w:rsidRPr="002019B2">
        <w:rPr>
          <w:color w:val="FF0000"/>
          <w:sz w:val="22"/>
          <w:szCs w:val="22"/>
        </w:rPr>
        <w:t>XXXX nom, signature</w:t>
      </w:r>
    </w:p>
    <w:p w:rsidR="00025B3B" w:rsidRPr="002019B2" w:rsidRDefault="00025B3B">
      <w:pPr>
        <w:spacing w:before="57" w:after="57"/>
        <w:jc w:val="both"/>
        <w:rPr>
          <w:color w:val="FF0000"/>
          <w:sz w:val="22"/>
          <w:szCs w:val="22"/>
        </w:rPr>
      </w:pPr>
    </w:p>
    <w:p w:rsidR="00025B3B" w:rsidRDefault="00025B3B">
      <w:pPr>
        <w:spacing w:before="57" w:after="57"/>
        <w:jc w:val="both"/>
        <w:rPr>
          <w:sz w:val="22"/>
          <w:szCs w:val="22"/>
        </w:rPr>
      </w:pPr>
    </w:p>
    <w:p w:rsidR="00025B3B" w:rsidRPr="00987CA2" w:rsidRDefault="00025B3B" w:rsidP="00025B3B">
      <w:pPr>
        <w:spacing w:before="57" w:after="57"/>
        <w:jc w:val="both"/>
        <w:rPr>
          <w:sz w:val="22"/>
          <w:szCs w:val="22"/>
        </w:rPr>
      </w:pPr>
      <w:r>
        <w:rPr>
          <w:sz w:val="22"/>
          <w:szCs w:val="22"/>
        </w:rPr>
        <w:t xml:space="preserve">Contacts : </w:t>
      </w:r>
      <w:r w:rsidRPr="002019B2">
        <w:rPr>
          <w:color w:val="FF0000"/>
          <w:sz w:val="22"/>
          <w:szCs w:val="22"/>
        </w:rPr>
        <w:t>XXXXXX mail + tél…</w:t>
      </w:r>
    </w:p>
    <w:sectPr w:rsidR="00025B3B" w:rsidRPr="00987CA2">
      <w:pgSz w:w="11906" w:h="16838"/>
      <w:pgMar w:top="624" w:right="794" w:bottom="624" w:left="79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panose1 w:val="020B0604020202020204"/>
    <w:charset w:val="01"/>
    <w:family w:val="auto"/>
    <w:pitch w:val="variable"/>
  </w:font>
  <w:font w:name="Wingdings">
    <w:panose1 w:val="05000000000000000000"/>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0E32"/>
    <w:multiLevelType w:val="multilevel"/>
    <w:tmpl w:val="9D6EF8EE"/>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241E95"/>
    <w:multiLevelType w:val="multilevel"/>
    <w:tmpl w:val="C0FAD2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7894A81"/>
    <w:multiLevelType w:val="multilevel"/>
    <w:tmpl w:val="155A72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E4A4D7A"/>
    <w:multiLevelType w:val="multilevel"/>
    <w:tmpl w:val="24CCF4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proofState w:spelling="clean" w:grammar="clean"/>
  <w:defaultTabStop w:val="709"/>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4758B"/>
    <w:rsid w:val="00025B3B"/>
    <w:rsid w:val="002019B2"/>
    <w:rsid w:val="0033066A"/>
    <w:rsid w:val="0034758B"/>
    <w:rsid w:val="00406294"/>
    <w:rsid w:val="004D73AB"/>
    <w:rsid w:val="00987CA2"/>
    <w:rsid w:val="00C20C55"/>
    <w:rsid w:val="00F3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C9E4E61C-5C3E-6443-926C-EB74E59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Titre"/>
    <w:next w:val="Corpsdetexte"/>
    <w:uiPriority w:val="9"/>
    <w:unhideWhenUsed/>
    <w:qFormat/>
    <w:pPr>
      <w:numPr>
        <w:ilvl w:val="1"/>
        <w:numId w:val="1"/>
      </w:numPr>
      <w:spacing w:before="200"/>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Forichon</dc:creator>
  <dc:description/>
  <cp:lastModifiedBy>Microsoft Office User</cp:lastModifiedBy>
  <cp:revision>4</cp:revision>
  <dcterms:created xsi:type="dcterms:W3CDTF">2026-07-05T15:30:00Z</dcterms:created>
  <dcterms:modified xsi:type="dcterms:W3CDTF">2026-07-09T16:34:00Z</dcterms:modified>
  <dc:language>fr-FR</dc:language>
</cp:coreProperties>
</file>