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B3" w:rsidRDefault="00972DB3" w:rsidP="00F50DFA">
      <w:pPr>
        <w:shd w:val="clear" w:color="auto" w:fill="FFFFFF"/>
        <w:spacing w:after="0" w:line="240" w:lineRule="auto"/>
        <w:ind w:left="708" w:firstLine="708"/>
        <w:jc w:val="both"/>
        <w:rPr>
          <w:rFonts w:eastAsia="Times New Roman" w:cstheme="minorHAnsi"/>
          <w:b/>
          <w:sz w:val="32"/>
          <w:szCs w:val="32"/>
          <w:lang w:eastAsia="fr-FR"/>
        </w:rPr>
      </w:pPr>
      <w:bookmarkStart w:id="0" w:name="_GoBack"/>
    </w:p>
    <w:bookmarkEnd w:id="0"/>
    <w:p w:rsidR="00B00C7E" w:rsidRPr="000F4323" w:rsidRDefault="00B00C7E" w:rsidP="00F50DFA">
      <w:pPr>
        <w:shd w:val="clear" w:color="auto" w:fill="FFFFFF"/>
        <w:spacing w:after="0" w:line="240" w:lineRule="auto"/>
        <w:ind w:left="708" w:firstLine="708"/>
        <w:jc w:val="both"/>
        <w:rPr>
          <w:rFonts w:eastAsia="Times New Roman" w:cstheme="minorHAnsi"/>
          <w:b/>
          <w:sz w:val="36"/>
          <w:szCs w:val="36"/>
          <w:lang w:eastAsia="fr-FR"/>
        </w:rPr>
      </w:pPr>
      <w:r w:rsidRPr="000F4323">
        <w:rPr>
          <w:rFonts w:eastAsia="Times New Roman" w:cstheme="minorHAnsi"/>
          <w:b/>
          <w:sz w:val="36"/>
          <w:szCs w:val="36"/>
          <w:lang w:eastAsia="fr-FR"/>
        </w:rPr>
        <w:t>L</w:t>
      </w:r>
      <w:r w:rsidR="006E72F7" w:rsidRPr="000F4323">
        <w:rPr>
          <w:rFonts w:eastAsia="Times New Roman" w:cstheme="minorHAnsi"/>
          <w:b/>
          <w:sz w:val="36"/>
          <w:szCs w:val="36"/>
          <w:lang w:eastAsia="fr-FR"/>
        </w:rPr>
        <w:t>'</w:t>
      </w:r>
      <w:proofErr w:type="spellStart"/>
      <w:r w:rsidR="006E72F7" w:rsidRPr="000F4323">
        <w:rPr>
          <w:rFonts w:eastAsia="Times New Roman" w:cstheme="minorHAnsi"/>
          <w:b/>
          <w:sz w:val="36"/>
          <w:szCs w:val="36"/>
          <w:lang w:eastAsia="fr-FR"/>
        </w:rPr>
        <w:t>agrivoltaïsme</w:t>
      </w:r>
      <w:proofErr w:type="spellEnd"/>
      <w:r w:rsidRPr="000F4323">
        <w:rPr>
          <w:rFonts w:eastAsia="Times New Roman" w:cstheme="minorHAnsi"/>
          <w:b/>
          <w:sz w:val="36"/>
          <w:szCs w:val="36"/>
          <w:lang w:eastAsia="fr-FR"/>
        </w:rPr>
        <w:t>,</w:t>
      </w:r>
      <w:r w:rsidR="006E72F7" w:rsidRPr="000F4323">
        <w:rPr>
          <w:rFonts w:eastAsia="Times New Roman" w:cstheme="minorHAnsi"/>
          <w:b/>
          <w:sz w:val="36"/>
          <w:szCs w:val="36"/>
          <w:lang w:eastAsia="fr-FR"/>
        </w:rPr>
        <w:t xml:space="preserve"> une bonne chose pour les agriculteurs</w:t>
      </w:r>
      <w:r w:rsidRPr="000F4323">
        <w:rPr>
          <w:rFonts w:eastAsia="Times New Roman" w:cstheme="minorHAnsi"/>
          <w:b/>
          <w:sz w:val="36"/>
          <w:szCs w:val="36"/>
          <w:lang w:eastAsia="fr-FR"/>
        </w:rPr>
        <w:t> ?</w:t>
      </w:r>
      <w:r w:rsidR="00F65949">
        <w:rPr>
          <w:rFonts w:eastAsia="Times New Roman" w:cstheme="minorHAnsi"/>
          <w:b/>
          <w:sz w:val="36"/>
          <w:szCs w:val="36"/>
          <w:lang w:eastAsia="fr-FR"/>
        </w:rPr>
        <w:t>?</w:t>
      </w:r>
    </w:p>
    <w:p w:rsidR="00B00C7E" w:rsidRPr="00423652" w:rsidRDefault="00B00C7E" w:rsidP="002D16F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6E72F7" w:rsidRPr="00F50DFA" w:rsidRDefault="00B00C7E" w:rsidP="002D16F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D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ans les Aspres des Pyrénées Orientales : la société Sun'R (à Paris) présidée par Antoine Nogier et maison mère de Sun'Agri et de Nos Territoires Solaires Développement ou aussi </w:t>
      </w:r>
      <w:r w:rsidR="00562689" w:rsidRPr="00F50DFA">
        <w:rPr>
          <w:rFonts w:ascii="Comic Sans MS" w:eastAsia="Times New Roman" w:hAnsi="Comic Sans MS" w:cstheme="minorHAnsi"/>
          <w:sz w:val="20"/>
          <w:szCs w:val="20"/>
          <w:shd w:val="clear" w:color="auto" w:fill="FFFFFF"/>
          <w:lang w:eastAsia="fr-FR"/>
        </w:rPr>
        <w:t>Nos T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shd w:val="clear" w:color="auto" w:fill="FFFFFF"/>
          <w:lang w:eastAsia="fr-FR"/>
        </w:rPr>
        <w:t>erroirs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 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shd w:val="clear" w:color="auto" w:fill="FFFFFF"/>
          <w:lang w:eastAsia="fr-FR"/>
        </w:rPr>
        <w:t>Solaires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 Patrimoine et 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à Villemolaque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(66)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: Nos Terroirs Solaires Exploitation SOLASPRES, </w:t>
      </w:r>
      <w:r w:rsidR="00562689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contraction de Solaire et Aspres 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ce qui montre son ambition pour notre territoire.</w:t>
      </w:r>
    </w:p>
    <w:p w:rsidR="003B27D1" w:rsidRPr="00F50DFA" w:rsidRDefault="003B27D1" w:rsidP="002D16F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</w:p>
    <w:p w:rsidR="003B27D1" w:rsidRPr="00F50DFA" w:rsidRDefault="003B27D1" w:rsidP="002D16F1">
      <w:pPr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Cette société Sun'R a crée fin  2018 à Tresserre un démonstrateur d'agrivoltaïsme couplé à un arrosage goutte à goutte,  sur 4 ha de vignes qu'il a replanté sur la propriété </w:t>
      </w:r>
      <w:r w:rsidR="00B00C7E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d’un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viticulteur-exploitant qui perçoit de Sun'R le loyer des terres louées au démonstrateur. Quelles sont les influences respectives des 2 systèmes : ombrage ou arrosage sur la vigne ? Nous n’avons pas les résultats de cette combinaison eau-ombre. </w:t>
      </w:r>
    </w:p>
    <w:p w:rsidR="006E72F7" w:rsidRPr="00F50DFA" w:rsidRDefault="003B27D1" w:rsidP="002D16F1">
      <w:pPr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Aujourd'hui, Antoine Nogier et Sun'R, après avoir annoncé vouloir installer 150.000 ha d'agrivoltaïsme en France, achète dans les Aspres, à Fourques, par une ré</w:t>
      </w:r>
      <w:r w:rsidR="001628D8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trocession de la SAFER à Sun'R via une SCI agricole 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de 14,5 ha payés 229.195€ soit 16.000€ l'ha </w:t>
      </w:r>
      <w:r w:rsidR="00423652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pour un projet agri-voltaïque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(le prix moyen en AOC Côtes du Roussillon est 10.000 € / ha). Et  à Terrats, Sun'R achète 2 terrains de </w:t>
      </w:r>
      <w:r w:rsidR="00BA6B6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6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ha et 4,3 ha pour là aussi des installations agri-voltaïques</w:t>
      </w:r>
      <w:r w:rsidR="005A70B3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pour 10.000/ha en concurrence avec une jeune agricultrice qui proposait 3.000/ha</w:t>
      </w:r>
      <w:r w:rsidR="004C50C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et ne pouvait pas plus</w:t>
      </w:r>
      <w:r w:rsidR="005A70B3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, soit le </w:t>
      </w:r>
      <w:r w:rsidR="00BA6B6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bon </w:t>
      </w:r>
      <w:r w:rsidR="005A70B3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prix pour ces terrains délaissés</w:t>
      </w:r>
      <w:r w:rsidR="004C50C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et </w:t>
      </w:r>
      <w:r w:rsidR="00ED357E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Sun’R </w:t>
      </w:r>
      <w:r w:rsidR="004C50C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se vante d’avoir acquis 80 hectares dans le sud des Pyrénées Orientales et démarche encore mairies et propriétaires pour de nouvelles acquisitions.</w:t>
      </w:r>
    </w:p>
    <w:p w:rsidR="006E72F7" w:rsidRPr="00F50DFA" w:rsidRDefault="006E72F7" w:rsidP="002D16F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b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b/>
          <w:sz w:val="20"/>
          <w:szCs w:val="20"/>
          <w:lang w:eastAsia="fr-FR"/>
        </w:rPr>
        <w:t>Cela pose de nombreuses questions : </w:t>
      </w:r>
    </w:p>
    <w:p w:rsidR="00B00C7E" w:rsidRPr="00F50DFA" w:rsidRDefault="003B27D1" w:rsidP="002D16F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A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Fourques, le viticulteur en retraite </w:t>
      </w:r>
      <w:r w:rsidR="00C542B2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confie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ses 14 ha </w:t>
      </w:r>
      <w:r w:rsidR="00C542B2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à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la SAFER </w:t>
      </w:r>
      <w:r w:rsidR="00C542B2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pour trouver un repreneur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,</w:t>
      </w:r>
      <w:r w:rsidR="00C542B2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la SAFER les attribue à une SCI agricole sise à Paris</w:t>
      </w:r>
      <w:r w:rsidR="00E95353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 et dépendant de Sun’R.</w:t>
      </w:r>
      <w:r w:rsidR="00C542B2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</w:t>
      </w:r>
    </w:p>
    <w:p w:rsidR="00B00C7E" w:rsidRPr="00F50DFA" w:rsidRDefault="00E95353" w:rsidP="002D16F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Quid de ce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nouvel exploitant sur cette propriété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viticole 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? Sun'R, va-t-il  encore </w:t>
      </w:r>
      <w:r w:rsidR="003B27D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vendanger et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faire  du vin de ces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parcelle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s d’un seul tenant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? </w:t>
      </w:r>
      <w:r w:rsidR="00504E1F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Replanter de nouveaux cépages ?</w:t>
      </w:r>
    </w:p>
    <w:p w:rsidR="00B00C7E" w:rsidRPr="00F50DFA" w:rsidRDefault="00E95353" w:rsidP="002D16F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Q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uid du statut du fermier év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entuel ? </w:t>
      </w:r>
      <w:r w:rsidR="00141F05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Du type et d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es clauses du contrat qui le lierait au propriétaire ? D</w:t>
      </w:r>
      <w:r w:rsidR="003B27D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u prix de son travail 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? Quid du partage du revenu agricole dans le cas d'un bail en fermage ? </w:t>
      </w:r>
    </w:p>
    <w:p w:rsidR="00B00C7E" w:rsidRPr="00F50DFA" w:rsidRDefault="006E72F7" w:rsidP="00141F0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Quid d'une éventuelle revente de la parcelle une fois équipée d'ombrières en agri-PV ? </w:t>
      </w:r>
      <w:r w:rsidR="00141F05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A quel prix, </w:t>
      </w:r>
      <w:r w:rsidR="003B27D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forcément supérieur à la moyenne locale,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puisque achetée à un prix à l'ha d'1/3 </w:t>
      </w:r>
      <w:r w:rsidR="009A731E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de plus et </w:t>
      </w:r>
      <w:r w:rsidR="003B27D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augmenté du coût </w:t>
      </w:r>
      <w:r w:rsidR="001628D8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d’investissement </w:t>
      </w:r>
      <w:r w:rsidR="003B27D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des panneaux</w:t>
      </w:r>
      <w:r w:rsidR="00423652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 et ses liaisons avec RTE : 800.000€ l’ha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? </w:t>
      </w:r>
      <w:r w:rsidR="00141F05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Quel jeune agriculteur prêt à s'installer pourrait payer une parcelle à reprendre un tel prix, plus de 15.000 € l'ha ?</w:t>
      </w:r>
    </w:p>
    <w:p w:rsidR="00141F05" w:rsidRPr="00F50DFA" w:rsidRDefault="00B00C7E" w:rsidP="00141F0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D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'autres parcelles n'ont pu être reprises par une jeune agricultrice aux enchères trop élevées de la SAFER. </w:t>
      </w:r>
      <w:r w:rsidR="001628D8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Combien de jeunes agriculteurs se trouveront dans le même cas, sachant que ces achats à prix élevé ont bouleversé les prix des terres, les éventuels vendeurs, informés,  attendent que les industriels les visitent pour une vente </w:t>
      </w:r>
      <w:r w:rsidR="00141F05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spéculative </w:t>
      </w:r>
      <w:r w:rsidR="001628D8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au plus offrant.</w:t>
      </w:r>
      <w:r w:rsidR="00141F05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</w:t>
      </w:r>
    </w:p>
    <w:p w:rsidR="00B00C7E" w:rsidRPr="00F50DFA" w:rsidRDefault="00141F05" w:rsidP="00141F0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Quid du revenu électrique ou de la destination du revenu électrique  (les vignes ne demandent pas d'autoconsommation), les villages ne devraient-ils pas recevoir une part de ce revenu en compensation de l’outil industriel que sera cette centrale électrique sur son territoire ? </w:t>
      </w:r>
    </w:p>
    <w:p w:rsidR="00E95353" w:rsidRPr="00F50DFA" w:rsidRDefault="00E95353" w:rsidP="002D16F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Quid de la ressource en ea</w:t>
      </w:r>
      <w:r w:rsidR="0065726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u dans un département en alerte sècheresse « rouge »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, sachant que le « démonstrateur » </w:t>
      </w:r>
      <w:r w:rsidR="0065726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agrivoltaïque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Sun’Agri </w:t>
      </w:r>
      <w:r w:rsidR="0065726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de 4,5 ha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inauguré en novembre 2018 dans un  village proche montre des rangs de vignes arrosés par  goutte à goutte sous les panneaux ? Lequel </w:t>
      </w:r>
      <w:r w:rsidR="0065726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« 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démonstrateur » vient d’être </w:t>
      </w:r>
      <w:r w:rsidR="0065726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augmenté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d’une surface </w:t>
      </w:r>
      <w:r w:rsidR="0065726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d’agri-PV d’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au mo</w:t>
      </w:r>
      <w:r w:rsidR="0065726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ins autant.</w:t>
      </w:r>
    </w:p>
    <w:p w:rsidR="00B00C7E" w:rsidRPr="00F50DFA" w:rsidRDefault="006E72F7" w:rsidP="002D16F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Quid d'un mitage de différents sites Agri-PV autour d'un même village comme à Terrats ? </w:t>
      </w:r>
    </w:p>
    <w:p w:rsidR="00423652" w:rsidRPr="00F50DFA" w:rsidRDefault="006E72F7" w:rsidP="002D16F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Quid de l'avis des habitants du village ou à proximité</w:t>
      </w:r>
      <w:r w:rsidR="00B00C7E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des installations d'Agri-PV ? </w:t>
      </w:r>
    </w:p>
    <w:p w:rsidR="00423652" w:rsidRPr="00F50DFA" w:rsidRDefault="00B00C7E" w:rsidP="002D16F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Q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uid des PC demandés auprès des communes </w:t>
      </w:r>
      <w:r w:rsidR="000F4323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et </w:t>
      </w:r>
      <w:r w:rsidR="000F4323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refus</w:t>
      </w:r>
      <w:r w:rsidR="000F4323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ées par elles </w:t>
      </w:r>
      <w:r w:rsidR="000F4323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</w:t>
      </w:r>
      <w:r w:rsidR="000F4323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déclenchant 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un recours gracieux ou plus encore juridique du promoteur (à Terrats, le CM n'a p</w:t>
      </w:r>
      <w:r w:rsidR="00B17D62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as maintenu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 son refus initial d'un PC après le recours gracieux de Sun'R, </w:t>
      </w:r>
      <w:r w:rsidR="00B17D62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la mairie disant que le PLU ne préserve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pas de cette demande de PC) ?</w:t>
      </w:r>
    </w:p>
    <w:p w:rsidR="00423652" w:rsidRDefault="00423652" w:rsidP="002D16F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Quid de cette artificialisation d’hectares de terres agricoles ou naturelles</w:t>
      </w:r>
      <w:r w:rsidR="0065726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, artificialisation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q</w:t>
      </w:r>
      <w:r w:rsidR="0065726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ui contrevie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nt au Zéro Artificialisation Nette des sols</w:t>
      </w:r>
      <w:r w:rsidR="001628D8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(le ZAN)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, point clé de la récente loi Climat et Résilience ?</w:t>
      </w:r>
      <w:r w:rsidR="000E6C10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</w:t>
      </w:r>
    </w:p>
    <w:p w:rsidR="000F4323" w:rsidRDefault="000F4323" w:rsidP="000F43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</w:p>
    <w:p w:rsidR="000F4323" w:rsidRPr="000F4323" w:rsidRDefault="000F4323" w:rsidP="000F43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</w:p>
    <w:p w:rsidR="000F4323" w:rsidRPr="000F4323" w:rsidRDefault="009B6C53" w:rsidP="009B6C53">
      <w:pPr>
        <w:shd w:val="clear" w:color="auto" w:fill="FFFFFF"/>
        <w:spacing w:after="0" w:line="240" w:lineRule="auto"/>
        <w:ind w:left="9204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>
        <w:rPr>
          <w:rFonts w:ascii="Comic Sans MS" w:eastAsia="Times New Roman" w:hAnsi="Comic Sans MS" w:cstheme="minorHAnsi"/>
          <w:sz w:val="20"/>
          <w:szCs w:val="20"/>
          <w:lang w:eastAsia="fr-FR"/>
        </w:rPr>
        <w:t>…/…</w:t>
      </w:r>
    </w:p>
    <w:p w:rsidR="000F4323" w:rsidRPr="000F4323" w:rsidRDefault="000F4323" w:rsidP="000F4323">
      <w:pPr>
        <w:shd w:val="clear" w:color="auto" w:fill="FFFFFF"/>
        <w:spacing w:after="0" w:line="240" w:lineRule="auto"/>
        <w:ind w:left="360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</w:p>
    <w:p w:rsidR="00B00C7E" w:rsidRPr="00F50DFA" w:rsidRDefault="006E72F7" w:rsidP="002D16F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Quid de l'impact sur le biotope de la biodiversité terrestre, flore, faune et avifaune : Le promoteur demande un simple PC, donc pas d'étude d'impact environnemental ni d’enquête publique ? </w:t>
      </w:r>
    </w:p>
    <w:p w:rsidR="00B00C7E" w:rsidRPr="000F4323" w:rsidRDefault="006E72F7" w:rsidP="000F432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0F4323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Quid des raccordements au poste source RTE éloigné de plusieurs kilomètres ? Qui paiera, Sun'R ou RTE ? </w:t>
      </w:r>
    </w:p>
    <w:p w:rsidR="00ED357E" w:rsidRPr="00F50DFA" w:rsidRDefault="00A91C3D" w:rsidP="00ED357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Quid du coût de cette dispersion des productions électriques </w:t>
      </w:r>
      <w:r w:rsidR="0029683D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éloignées des centrales et transformateurs </w:t>
      </w:r>
      <w:r w:rsidR="002D16F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et lignes </w:t>
      </w:r>
      <w:r w:rsidR="0029683D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actuels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</w:t>
      </w:r>
      <w:r w:rsidR="002D16F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de RTE ? </w:t>
      </w:r>
      <w:r w:rsidR="0029683D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Cela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nécessite de </w:t>
      </w:r>
      <w:r w:rsidR="0029683D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nouveaux transfo</w:t>
      </w:r>
      <w:r w:rsidR="002D16F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s</w:t>
      </w:r>
      <w:r w:rsidR="0029683D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, de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nouvelles lignes</w:t>
      </w:r>
      <w:r w:rsidR="0029683D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aériennes ou enterrées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, de nouveaux postes sources, de nouveaux postes de contrôle </w:t>
      </w:r>
      <w:r w:rsidR="00423652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RTE  </w:t>
      </w:r>
      <w:r w:rsidR="00ED357E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assurant 24h/24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des tensions </w:t>
      </w:r>
      <w:r w:rsidR="002F525D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230 </w:t>
      </w:r>
      <w:r w:rsidR="00A93F66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volt</w:t>
      </w:r>
      <w:r w:rsidR="00423652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s</w:t>
      </w:r>
      <w:r w:rsidR="00A93F66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&amp; </w:t>
      </w:r>
      <w:r w:rsidR="002F525D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50 </w:t>
      </w:r>
      <w:r w:rsidR="00423652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hertz</w:t>
      </w:r>
      <w:r w:rsidR="002D16F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et de nouvelles occupations des sols</w:t>
      </w:r>
      <w:r w:rsidR="0029683D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? </w:t>
      </w:r>
    </w:p>
    <w:p w:rsidR="00B00C7E" w:rsidRPr="00F50DFA" w:rsidRDefault="006E72F7" w:rsidP="00ED357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Quid des servitudes et droits de passage en tranchées </w:t>
      </w:r>
      <w:r w:rsidR="002F525D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à demander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à chaque propriétaire de parcelle  entre </w:t>
      </w:r>
      <w:r w:rsidR="00ED357E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la centrale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agri-voltaïque et le poste source RTE ? </w:t>
      </w:r>
    </w:p>
    <w:p w:rsidR="00B00C7E" w:rsidRPr="00F50DFA" w:rsidRDefault="006E72F7" w:rsidP="002D16F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Quid d'un rendement de production électrique photovoltaïque de 15 % (le taux de charge</w:t>
      </w:r>
      <w:r w:rsidR="002D16F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–la production effective-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des panneaux photovoltaïques est de 15 MW</w:t>
      </w:r>
      <w:r w:rsidR="002D16F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/heure pour 100 MW/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crête de puissance nominale affichée) ? </w:t>
      </w:r>
    </w:p>
    <w:p w:rsidR="00B00C7E" w:rsidRDefault="006E72F7" w:rsidP="002D16F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Quid de la décarbonation </w:t>
      </w:r>
      <w:r w:rsidR="002D16F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si vantée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des panneaux photovolta</w:t>
      </w:r>
      <w:r w:rsidR="00734398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ïques </w:t>
      </w:r>
      <w:r w:rsidR="002D16F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lorsqu</w:t>
      </w:r>
      <w:r w:rsidR="00734398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'on prend en compte leur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bilan carbone depuis la fouille et l'extraction des terres rares pour obtenir les minerais nécessaires</w:t>
      </w:r>
      <w:r w:rsidR="00A93F66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, le silicium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, la fabrication en Chine, le transport maritime</w:t>
      </w:r>
      <w:r w:rsidR="004C50C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de la Chine à la France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, l'installation</w:t>
      </w:r>
      <w:r w:rsidR="00A93F66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, le démantèlement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et le recyclage, soit </w:t>
      </w:r>
      <w:r w:rsidR="001628D8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un total de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30 années d'émissions de carbone avant </w:t>
      </w:r>
      <w:r w:rsidR="00A93F66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que </w:t>
      </w:r>
      <w:r w:rsidR="001628D8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la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production électrique de ce panneau photovoltaïque soit pure de toute émission de carbone</w:t>
      </w:r>
      <w:r w:rsidR="001628D8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 ? C’est le bilan carbone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qu'il faut impérativement compter </w:t>
      </w:r>
      <w:r w:rsidR="0029683D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pour calculer  l’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émission de GES sur la planète</w:t>
      </w:r>
      <w:r w:rsidR="001628D8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et non la seule production électrique</w:t>
      </w:r>
      <w:r w:rsidR="0029683D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de la centrale</w:t>
      </w:r>
      <w:r w:rsidR="001628D8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.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</w:t>
      </w:r>
    </w:p>
    <w:p w:rsidR="00972DB3" w:rsidRPr="00972DB3" w:rsidRDefault="00972DB3" w:rsidP="00972DB3">
      <w:pPr>
        <w:shd w:val="clear" w:color="auto" w:fill="FFFFFF"/>
        <w:spacing w:after="0" w:line="240" w:lineRule="auto"/>
        <w:ind w:left="360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</w:p>
    <w:p w:rsidR="007E50A6" w:rsidRPr="00F50DFA" w:rsidRDefault="006E72F7" w:rsidP="007E50A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Quelle incidence aura ce très faible rendement de production de cour</w:t>
      </w:r>
      <w:r w:rsidR="00A93F66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ant électrique sur la produc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tion électrique de la France métropolitaine (500,1 TWh en 2020, niveau le + bas depuis 20 ans cause crise Covid et </w:t>
      </w:r>
      <w:r w:rsidR="00A93F66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arrêts certains réacteurs, 537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</w:t>
      </w:r>
      <w:r w:rsidR="00BC0626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 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TWh en 2019) ? Pour mémoire, la production photovoltaïque solaire totale (celle des centrales photovoltaïques industrielles au sol mais aussi les productions achetées par EDF : celles des PV sur toitures publiques et privées, ombrières de parking, serres et hangars et centrales solaires comme celle de Llo en 66) a été en 2020 de 12,6 TWh soit 2,5 % de la production électrique totale cette année-là. </w:t>
      </w:r>
    </w:p>
    <w:p w:rsidR="00972DB3" w:rsidRDefault="00972DB3" w:rsidP="007E50A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</w:p>
    <w:p w:rsidR="007E50A6" w:rsidRPr="00F50DFA" w:rsidRDefault="007E50A6" w:rsidP="007E50A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Enfin, </w:t>
      </w:r>
      <w:r w:rsidR="008D59BE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la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production électrique par panneaux photovoltaïques </w:t>
      </w:r>
      <w:r w:rsidR="008D59BE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sur les toitures publiques et privées, fermes et hangars agricoles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est bien</w:t>
      </w:r>
      <w:r w:rsidR="008D59BE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moins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encouragée </w:t>
      </w:r>
      <w:r w:rsidR="008D59BE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par l’Etat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que ces centrale photovoltaïques sur terres agricoles ou naturelles type Sun’Agri : </w:t>
      </w:r>
      <w:r w:rsidR="008D59BE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L’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électricité </w:t>
      </w:r>
      <w:r w:rsidR="008D59BE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sur toitures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utilisée en autoconsommation ou dont le r</w:t>
      </w:r>
      <w:r w:rsidR="0068639E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evenu à la revente à EDF revient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au propriétaire du toit et non à l’industriel de ces centrales agrivoltaïques, ce qu</w:t>
      </w:r>
      <w:r w:rsidR="008D59BE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e l’industriel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ne veut à aucun prix, bien sûr. Cette électricité </w:t>
      </w:r>
      <w:r w:rsidR="008D59BE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sur toiture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produite sur place, </w:t>
      </w:r>
      <w:r w:rsidR="008D59BE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est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connectée au compteur individuel en autoconsommation ou en revente à EDF </w:t>
      </w:r>
      <w:r w:rsidR="008D59BE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et </w:t>
      </w:r>
      <w:r w:rsidR="0068639E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de plus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ne demande pas de nouvelles </w:t>
      </w:r>
      <w:r w:rsidR="008D59BE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lignes traversant les campagnes.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</w:t>
      </w:r>
    </w:p>
    <w:p w:rsidR="00B00C7E" w:rsidRPr="00F50DFA" w:rsidRDefault="00B00C7E" w:rsidP="002D16F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</w:p>
    <w:p w:rsidR="002D16F1" w:rsidRPr="00F50DFA" w:rsidRDefault="006E72F7" w:rsidP="002D16F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Il y a une solution à l'ensoleillement excessif des parcelles agricoles : L’ombrage par l'agroforesterie c.a.d la cohabitation mutuellement enrichissante entre arboriculture adaptée et culture au sol. </w:t>
      </w:r>
      <w:r w:rsidR="004C50C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L’ombre des arbres sur du maraichage, des fruitiers taillés, des rangs de vigne protège d’un soleil trop brulant, les échanges racinaires entre arbres et cultures enrichissent les sols et profitent à l’un comme l’autre. </w:t>
      </w:r>
      <w:r w:rsidR="002D16F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La pêche de vigne vendue sur nos marchés c'est quoi ? De l'agroforesterie !  </w:t>
      </w:r>
    </w:p>
    <w:p w:rsidR="006E72F7" w:rsidRPr="00F50DFA" w:rsidRDefault="004C50C1" w:rsidP="002D16F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Autre solution </w:t>
      </w:r>
      <w:r w:rsidR="002D16F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qui protège </w:t>
      </w:r>
      <w:r w:rsidR="00972DB3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la vigne </w:t>
      </w:r>
      <w:r w:rsidR="002D16F1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du soleil</w:t>
      </w:r>
      <w:r w:rsidR="003E791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, </w:t>
      </w:r>
      <w:r w:rsidR="00972DB3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une </w:t>
      </w:r>
      <w:r w:rsidR="003E791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façon culturale </w:t>
      </w: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qui était très utilisée et existe encore : la taille en gobelet. </w:t>
      </w:r>
      <w:r w:rsidR="003E791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Les fruitiers sont toujours taillés en gobelet dans les P.O.</w:t>
      </w:r>
    </w:p>
    <w:p w:rsidR="006E72F7" w:rsidRPr="00F50DFA" w:rsidRDefault="006E72F7" w:rsidP="002D16F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</w:p>
    <w:p w:rsidR="003B27D1" w:rsidRPr="00F50DFA" w:rsidRDefault="003B27D1" w:rsidP="002D16F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Voir la position de la Confédération </w:t>
      </w:r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>Paysanne : </w:t>
      </w:r>
    </w:p>
    <w:p w:rsidR="006E72F7" w:rsidRPr="00F50DFA" w:rsidRDefault="00F65949" w:rsidP="002D16F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F5496" w:themeColor="accent1" w:themeShade="BF"/>
          <w:sz w:val="20"/>
          <w:szCs w:val="20"/>
          <w:lang w:eastAsia="fr-FR"/>
        </w:rPr>
      </w:pPr>
      <w:hyperlink r:id="rId5" w:tgtFrame="_blank" w:history="1">
        <w:r w:rsidR="006E72F7" w:rsidRPr="00F50DFA">
          <w:rPr>
            <w:rFonts w:ascii="Comic Sans MS" w:eastAsia="Times New Roman" w:hAnsi="Comic Sans MS" w:cstheme="minorHAnsi"/>
            <w:color w:val="2F5496" w:themeColor="accent1" w:themeShade="BF"/>
            <w:sz w:val="20"/>
            <w:szCs w:val="20"/>
            <w:u w:val="single"/>
            <w:lang w:eastAsia="fr-FR"/>
          </w:rPr>
          <w:t>https://ccaves.org/blog/wpcontent/uploads/Conf_positionnement_agrivoltaisme_VF_BD_280922.pdft</w:t>
        </w:r>
      </w:hyperlink>
    </w:p>
    <w:p w:rsidR="003B27D1" w:rsidRPr="00F50DFA" w:rsidRDefault="006E72F7" w:rsidP="002D16F1">
      <w:pPr>
        <w:spacing w:after="0" w:line="240" w:lineRule="auto"/>
        <w:jc w:val="both"/>
        <w:rPr>
          <w:rFonts w:ascii="Comic Sans MS" w:eastAsia="Times New Roman" w:hAnsi="Comic Sans MS" w:cstheme="minorHAnsi"/>
          <w:sz w:val="20"/>
          <w:szCs w:val="20"/>
          <w:shd w:val="clear" w:color="auto" w:fill="FFFFFF"/>
          <w:lang w:eastAsia="fr-FR"/>
        </w:rPr>
      </w:pPr>
      <w:r w:rsidRPr="00F50DFA">
        <w:rPr>
          <w:rFonts w:ascii="Comic Sans MS" w:eastAsia="Times New Roman" w:hAnsi="Comic Sans MS" w:cstheme="minorHAnsi"/>
          <w:sz w:val="20"/>
          <w:szCs w:val="20"/>
          <w:shd w:val="clear" w:color="auto" w:fill="FFFFFF"/>
          <w:lang w:eastAsia="fr-FR"/>
        </w:rPr>
        <w:t>Et celle de France Nature Environnement :</w:t>
      </w:r>
    </w:p>
    <w:p w:rsidR="00B00C7E" w:rsidRPr="00F50DFA" w:rsidRDefault="00F65949" w:rsidP="002D16F1">
      <w:pPr>
        <w:spacing w:after="0" w:line="240" w:lineRule="auto"/>
        <w:jc w:val="both"/>
        <w:rPr>
          <w:rFonts w:ascii="Comic Sans MS" w:eastAsia="Times New Roman" w:hAnsi="Comic Sans MS" w:cstheme="minorHAnsi"/>
          <w:i/>
          <w:sz w:val="20"/>
          <w:szCs w:val="20"/>
          <w:lang w:eastAsia="fr-FR"/>
        </w:rPr>
      </w:pPr>
      <w:hyperlink r:id="rId6" w:tgtFrame="_blank" w:history="1">
        <w:r w:rsidR="006E72F7" w:rsidRPr="00F50DFA">
          <w:rPr>
            <w:rFonts w:ascii="Comic Sans MS" w:eastAsia="Times New Roman" w:hAnsi="Comic Sans MS" w:cstheme="minorHAnsi"/>
            <w:color w:val="2F5496" w:themeColor="accent1" w:themeShade="BF"/>
            <w:sz w:val="20"/>
            <w:szCs w:val="20"/>
            <w:u w:val="single"/>
            <w:lang w:eastAsia="fr-FR"/>
          </w:rPr>
          <w:t>https://fne.asso.fr/dossiers/artificialisation-des-terres-enjeux-et-solutions</w:t>
        </w:r>
      </w:hyperlink>
      <w:r w:rsidR="006E72F7" w:rsidRPr="00F50DFA">
        <w:rPr>
          <w:rFonts w:ascii="Comic Sans MS" w:eastAsia="Times New Roman" w:hAnsi="Comic Sans MS" w:cstheme="minorHAnsi"/>
          <w:sz w:val="20"/>
          <w:szCs w:val="20"/>
          <w:lang w:eastAsia="fr-FR"/>
        </w:rPr>
        <w:t xml:space="preserve"> </w:t>
      </w:r>
    </w:p>
    <w:p w:rsidR="0085704B" w:rsidRPr="00F50DFA" w:rsidRDefault="0085704B" w:rsidP="002D16F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i/>
          <w:sz w:val="20"/>
          <w:szCs w:val="20"/>
          <w:lang w:eastAsia="fr-FR"/>
        </w:rPr>
      </w:pPr>
    </w:p>
    <w:p w:rsidR="00F50DFA" w:rsidRPr="00F50DFA" w:rsidRDefault="00F50DF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i/>
          <w:sz w:val="20"/>
          <w:szCs w:val="20"/>
          <w:lang w:eastAsia="fr-FR"/>
        </w:rPr>
      </w:pPr>
    </w:p>
    <w:sectPr w:rsidR="00F50DFA" w:rsidRPr="00F50DFA" w:rsidSect="006E7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96094"/>
    <w:multiLevelType w:val="hybridMultilevel"/>
    <w:tmpl w:val="C0FE6110"/>
    <w:lvl w:ilvl="0" w:tplc="192AB7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2F7"/>
    <w:rsid w:val="000C26CA"/>
    <w:rsid w:val="000E6C10"/>
    <w:rsid w:val="000F4323"/>
    <w:rsid w:val="00141F05"/>
    <w:rsid w:val="0015129E"/>
    <w:rsid w:val="001628D8"/>
    <w:rsid w:val="00267C4C"/>
    <w:rsid w:val="00283460"/>
    <w:rsid w:val="0029683D"/>
    <w:rsid w:val="002D16F1"/>
    <w:rsid w:val="002F525D"/>
    <w:rsid w:val="00342E19"/>
    <w:rsid w:val="00360857"/>
    <w:rsid w:val="003B27D1"/>
    <w:rsid w:val="003E4D4A"/>
    <w:rsid w:val="003E7917"/>
    <w:rsid w:val="00423652"/>
    <w:rsid w:val="004C50C1"/>
    <w:rsid w:val="00504E1F"/>
    <w:rsid w:val="00531A1C"/>
    <w:rsid w:val="00562689"/>
    <w:rsid w:val="005A0458"/>
    <w:rsid w:val="005A70B3"/>
    <w:rsid w:val="00657261"/>
    <w:rsid w:val="006730C1"/>
    <w:rsid w:val="0068639E"/>
    <w:rsid w:val="006C7520"/>
    <w:rsid w:val="006E72F7"/>
    <w:rsid w:val="00734398"/>
    <w:rsid w:val="007B0BFB"/>
    <w:rsid w:val="007C56DD"/>
    <w:rsid w:val="007D6469"/>
    <w:rsid w:val="007E50A6"/>
    <w:rsid w:val="0085704B"/>
    <w:rsid w:val="008C3F9B"/>
    <w:rsid w:val="008D59BE"/>
    <w:rsid w:val="008F03EB"/>
    <w:rsid w:val="00972DB3"/>
    <w:rsid w:val="00977BDF"/>
    <w:rsid w:val="0098242D"/>
    <w:rsid w:val="009A731E"/>
    <w:rsid w:val="009B6C53"/>
    <w:rsid w:val="00A72AC0"/>
    <w:rsid w:val="00A8190E"/>
    <w:rsid w:val="00A91C3D"/>
    <w:rsid w:val="00A93F66"/>
    <w:rsid w:val="00B00C7E"/>
    <w:rsid w:val="00B17D62"/>
    <w:rsid w:val="00B521D8"/>
    <w:rsid w:val="00BA6B61"/>
    <w:rsid w:val="00BA7E94"/>
    <w:rsid w:val="00BB1770"/>
    <w:rsid w:val="00BB1F7D"/>
    <w:rsid w:val="00BC0626"/>
    <w:rsid w:val="00BF181F"/>
    <w:rsid w:val="00BF44CE"/>
    <w:rsid w:val="00C542B2"/>
    <w:rsid w:val="00CA34FB"/>
    <w:rsid w:val="00CE2A7B"/>
    <w:rsid w:val="00CE55A9"/>
    <w:rsid w:val="00D67E05"/>
    <w:rsid w:val="00DA55A8"/>
    <w:rsid w:val="00E84F15"/>
    <w:rsid w:val="00E95353"/>
    <w:rsid w:val="00ED357E"/>
    <w:rsid w:val="00F50DFA"/>
    <w:rsid w:val="00F6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D92E"/>
  <w15:docId w15:val="{5188C053-A6C6-3540-A732-64269CE9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0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E72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2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0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756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ne.asso.fr/dossiers/artificialisation-des-terres-enjeux-et-solutions" TargetMode="External"/><Relationship Id="rId5" Type="http://schemas.openxmlformats.org/officeDocument/2006/relationships/hyperlink" Target="https://ccaves.org/blog/wpcontent/uploads/Conf_positionnement_agrivoltaisme_VF_BD_280922.pdf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1309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jblin</dc:creator>
  <cp:lastModifiedBy>Microsoft Office User</cp:lastModifiedBy>
  <cp:revision>45</cp:revision>
  <cp:lastPrinted>2024-03-01T10:19:00Z</cp:lastPrinted>
  <dcterms:created xsi:type="dcterms:W3CDTF">2022-11-06T11:36:00Z</dcterms:created>
  <dcterms:modified xsi:type="dcterms:W3CDTF">2024-03-26T12:21:00Z</dcterms:modified>
</cp:coreProperties>
</file>