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68E" w:rsidRPr="00D3068E" w:rsidRDefault="00D3068E" w:rsidP="00D3068E">
      <w:pPr>
        <w:jc w:val="center"/>
        <w:outlineLvl w:val="2"/>
        <w:rPr>
          <w:rFonts w:ascii="Arial" w:eastAsia="Times New Roman" w:hAnsi="Arial" w:cs="Arial"/>
          <w:b/>
          <w:bCs/>
          <w:color w:val="656565"/>
          <w:sz w:val="27"/>
          <w:szCs w:val="27"/>
          <w:lang w:eastAsia="fr-FR"/>
        </w:rPr>
      </w:pPr>
      <w:r>
        <w:rPr>
          <w:rFonts w:ascii="Arial" w:eastAsia="Times New Roman" w:hAnsi="Arial" w:cs="Arial"/>
          <w:b/>
          <w:bCs/>
          <w:color w:val="274E13"/>
          <w:sz w:val="48"/>
          <w:szCs w:val="48"/>
          <w:lang w:eastAsia="fr-FR"/>
        </w:rPr>
        <w:t>De l</w:t>
      </w:r>
      <w:r w:rsidRPr="00D3068E">
        <w:rPr>
          <w:rFonts w:ascii="Arial" w:eastAsia="Times New Roman" w:hAnsi="Arial" w:cs="Arial"/>
          <w:b/>
          <w:bCs/>
          <w:color w:val="274E13"/>
          <w:sz w:val="48"/>
          <w:szCs w:val="48"/>
          <w:lang w:eastAsia="fr-FR"/>
        </w:rPr>
        <w:t>a Jurisprudence éolienne à la responsabilité du bailleur</w:t>
      </w:r>
    </w:p>
    <w:p w:rsidR="00D3068E" w:rsidRPr="00D3068E" w:rsidRDefault="00D3068E" w:rsidP="00D3068E">
      <w:pPr>
        <w:spacing w:before="100" w:beforeAutospacing="1" w:after="100" w:afterAutospacing="1"/>
        <w:rPr>
          <w:rFonts w:ascii="Arial" w:eastAsia="Times New Roman" w:hAnsi="Arial" w:cs="Arial"/>
          <w:color w:val="656565"/>
          <w:sz w:val="22"/>
          <w:szCs w:val="22"/>
          <w:lang w:eastAsia="fr-FR"/>
        </w:rPr>
      </w:pPr>
      <w:r w:rsidRPr="00D3068E">
        <w:rPr>
          <w:rFonts w:ascii="Arial" w:eastAsia="Times New Roman" w:hAnsi="Arial" w:cs="Arial"/>
          <w:b/>
          <w:bCs/>
          <w:i/>
          <w:iCs/>
          <w:color w:val="274E13"/>
          <w:lang w:eastAsia="fr-FR"/>
        </w:rPr>
        <w:t xml:space="preserve">Jean Pierre </w:t>
      </w:r>
      <w:proofErr w:type="spellStart"/>
      <w:r w:rsidRPr="00D3068E">
        <w:rPr>
          <w:rFonts w:ascii="Arial" w:eastAsia="Times New Roman" w:hAnsi="Arial" w:cs="Arial"/>
          <w:b/>
          <w:bCs/>
          <w:i/>
          <w:iCs/>
          <w:color w:val="274E13"/>
          <w:lang w:eastAsia="fr-FR"/>
        </w:rPr>
        <w:t>Riou</w:t>
      </w:r>
      <w:proofErr w:type="spellEnd"/>
      <w:r w:rsidRPr="00D3068E">
        <w:rPr>
          <w:rFonts w:ascii="Arial" w:eastAsia="Times New Roman" w:hAnsi="Arial" w:cs="Arial"/>
          <w:b/>
          <w:bCs/>
          <w:i/>
          <w:iCs/>
          <w:color w:val="274E13"/>
          <w:lang w:eastAsia="fr-FR"/>
        </w:rPr>
        <w:br/>
      </w:r>
    </w:p>
    <w:p w:rsidR="00D3068E" w:rsidRPr="00D3068E" w:rsidRDefault="00D3068E" w:rsidP="00D3068E">
      <w:pPr>
        <w:spacing w:before="100" w:beforeAutospacing="1" w:after="100" w:afterAutospacing="1"/>
        <w:rPr>
          <w:rFonts w:ascii="Arial" w:eastAsia="Times New Roman" w:hAnsi="Arial" w:cs="Arial"/>
          <w:color w:val="656565"/>
          <w:sz w:val="22"/>
          <w:szCs w:val="22"/>
          <w:lang w:eastAsia="fr-FR"/>
        </w:rPr>
      </w:pPr>
      <w:r w:rsidRPr="00D3068E">
        <w:rPr>
          <w:rFonts w:ascii="Arial" w:eastAsia="Times New Roman" w:hAnsi="Arial" w:cs="Arial"/>
          <w:b/>
          <w:bCs/>
          <w:i/>
          <w:iCs/>
          <w:color w:val="656565"/>
          <w:sz w:val="27"/>
          <w:szCs w:val="27"/>
          <w:lang w:eastAsia="fr-FR"/>
        </w:rPr>
        <w:t>La jurisprudence de Toulouse</w:t>
      </w:r>
    </w:p>
    <w:p w:rsidR="00D3068E" w:rsidRPr="00D3068E" w:rsidRDefault="00D3068E" w:rsidP="00D3068E">
      <w:pPr>
        <w:spacing w:before="100" w:beforeAutospacing="1" w:after="100" w:afterAutospacing="1"/>
        <w:rPr>
          <w:rFonts w:ascii="Arial" w:eastAsia="Times New Roman" w:hAnsi="Arial" w:cs="Arial"/>
          <w:color w:val="656565"/>
          <w:sz w:val="22"/>
          <w:szCs w:val="22"/>
          <w:lang w:eastAsia="fr-FR"/>
        </w:rPr>
      </w:pPr>
      <w:r w:rsidRPr="00D3068E">
        <w:rPr>
          <w:rFonts w:ascii="Arial" w:eastAsia="Times New Roman" w:hAnsi="Arial" w:cs="Arial"/>
          <w:color w:val="656565"/>
          <w:sz w:val="22"/>
          <w:szCs w:val="22"/>
          <w:lang w:eastAsia="fr-FR"/>
        </w:rPr>
        <w:t>La Cour d'appel de Toulouse, </w:t>
      </w:r>
      <w:hyperlink r:id="rId4" w:tgtFrame="_blank" w:history="1">
        <w:r w:rsidRPr="00D3068E">
          <w:rPr>
            <w:rFonts w:ascii="Arial" w:eastAsia="Times New Roman" w:hAnsi="Arial" w:cs="Arial"/>
            <w:color w:val="3E82BB"/>
            <w:sz w:val="22"/>
            <w:szCs w:val="22"/>
            <w:u w:val="single"/>
            <w:lang w:eastAsia="fr-FR"/>
          </w:rPr>
          <w:t>3ème chambre, 8 juillet 2021, n° 20/01384</w:t>
        </w:r>
      </w:hyperlink>
      <w:r w:rsidRPr="00D3068E">
        <w:rPr>
          <w:rFonts w:ascii="Arial" w:eastAsia="Times New Roman" w:hAnsi="Arial" w:cs="Arial"/>
          <w:color w:val="656565"/>
          <w:sz w:val="22"/>
          <w:szCs w:val="22"/>
          <w:lang w:eastAsia="fr-FR"/>
        </w:rPr>
        <w:t xml:space="preserve"> a formellement reconnu l’existence d’un syndrome éolien et la responsabilité des éoliennes dans les troubles sanitaires occasionnés en condamnant leur exploitant à indemniser  les 2 victimes à hauteur de 4.000 € à chacun au titre du pretium doloris et 2.216,25 € au titre de la réparation de leur déficit fonctionnel </w:t>
      </w:r>
      <w:bookmarkStart w:id="0" w:name="_GoBack"/>
      <w:r w:rsidRPr="00D3068E">
        <w:rPr>
          <w:rFonts w:ascii="Arial" w:eastAsia="Times New Roman" w:hAnsi="Arial" w:cs="Arial"/>
          <w:color w:val="656565"/>
          <w:sz w:val="22"/>
          <w:szCs w:val="22"/>
          <w:lang w:eastAsia="fr-FR"/>
        </w:rPr>
        <w:t>temporaire dont les « </w:t>
      </w:r>
      <w:r w:rsidRPr="00D3068E">
        <w:rPr>
          <w:rFonts w:ascii="Arial" w:eastAsia="Times New Roman" w:hAnsi="Arial" w:cs="Arial"/>
          <w:i/>
          <w:iCs/>
          <w:color w:val="656565"/>
          <w:sz w:val="22"/>
          <w:szCs w:val="22"/>
          <w:lang w:eastAsia="fr-FR"/>
        </w:rPr>
        <w:t>Souffrances endurées avant consolidation: (…) </w:t>
      </w:r>
      <w:r w:rsidRPr="00D3068E">
        <w:rPr>
          <w:rFonts w:ascii="Arial" w:eastAsia="Times New Roman" w:hAnsi="Arial" w:cs="Arial"/>
          <w:b/>
          <w:bCs/>
          <w:i/>
          <w:iCs/>
          <w:color w:val="656565"/>
          <w:sz w:val="22"/>
          <w:szCs w:val="22"/>
          <w:lang w:eastAsia="fr-FR"/>
        </w:rPr>
        <w:t xml:space="preserve">tenant compte de </w:t>
      </w:r>
      <w:bookmarkEnd w:id="0"/>
      <w:r w:rsidRPr="00D3068E">
        <w:rPr>
          <w:rFonts w:ascii="Arial" w:eastAsia="Times New Roman" w:hAnsi="Arial" w:cs="Arial"/>
          <w:b/>
          <w:bCs/>
          <w:i/>
          <w:iCs/>
          <w:color w:val="656565"/>
          <w:sz w:val="22"/>
          <w:szCs w:val="22"/>
          <w:lang w:eastAsia="fr-FR"/>
        </w:rPr>
        <w:t>l’hospitalisation en urgence, du suivi médical, de la réalisation d’examens complémentaires, de la prise de traitements ponctuels et du retentissement psychologique.</w:t>
      </w:r>
      <w:r w:rsidRPr="00D3068E">
        <w:rPr>
          <w:rFonts w:ascii="Arial" w:eastAsia="Times New Roman" w:hAnsi="Arial" w:cs="Arial"/>
          <w:i/>
          <w:iCs/>
          <w:color w:val="656565"/>
          <w:sz w:val="22"/>
          <w:szCs w:val="22"/>
          <w:lang w:eastAsia="fr-FR"/>
        </w:rPr>
        <w:t> »</w:t>
      </w:r>
    </w:p>
    <w:p w:rsidR="00D3068E" w:rsidRPr="00D3068E" w:rsidRDefault="00D3068E" w:rsidP="00D3068E">
      <w:pPr>
        <w:spacing w:before="100" w:beforeAutospacing="1" w:after="100" w:afterAutospacing="1"/>
        <w:rPr>
          <w:rFonts w:ascii="Arial" w:eastAsia="Times New Roman" w:hAnsi="Arial" w:cs="Arial"/>
          <w:color w:val="656565"/>
          <w:sz w:val="22"/>
          <w:szCs w:val="22"/>
          <w:lang w:eastAsia="fr-FR"/>
        </w:rPr>
      </w:pPr>
      <w:r w:rsidRPr="00D3068E">
        <w:rPr>
          <w:rFonts w:ascii="Arial" w:eastAsia="Times New Roman" w:hAnsi="Arial" w:cs="Arial"/>
          <w:b/>
          <w:bCs/>
          <w:color w:val="656565"/>
          <w:sz w:val="22"/>
          <w:szCs w:val="22"/>
          <w:lang w:eastAsia="fr-FR"/>
        </w:rPr>
        <w:t>La condamnation totale de l’exploitant, notamment pour préjudice moral perte de valeur du bien et trouble de jouissance, s’est élevée à 110.582 euros, en plus de la condamnation aux dépens.</w:t>
      </w:r>
    </w:p>
    <w:p w:rsidR="00D3068E" w:rsidRPr="00D3068E" w:rsidRDefault="00D3068E" w:rsidP="00D3068E">
      <w:pPr>
        <w:spacing w:before="100" w:beforeAutospacing="1" w:after="100" w:afterAutospacing="1"/>
        <w:rPr>
          <w:rFonts w:ascii="Arial" w:eastAsia="Times New Roman" w:hAnsi="Arial" w:cs="Arial"/>
          <w:color w:val="656565"/>
          <w:sz w:val="22"/>
          <w:szCs w:val="22"/>
          <w:lang w:eastAsia="fr-FR"/>
        </w:rPr>
      </w:pPr>
      <w:r w:rsidRPr="00D3068E">
        <w:rPr>
          <w:rFonts w:ascii="Arial" w:eastAsia="Times New Roman" w:hAnsi="Arial" w:cs="Arial"/>
          <w:b/>
          <w:bCs/>
          <w:i/>
          <w:iCs/>
          <w:color w:val="656565"/>
          <w:sz w:val="27"/>
          <w:szCs w:val="27"/>
          <w:lang w:eastAsia="fr-FR"/>
        </w:rPr>
        <w:t>De la responsabilité du propriétaire foncier</w:t>
      </w:r>
    </w:p>
    <w:p w:rsidR="00D3068E" w:rsidRPr="00D3068E" w:rsidRDefault="00D3068E" w:rsidP="00D3068E">
      <w:pPr>
        <w:spacing w:before="100" w:beforeAutospacing="1" w:after="100" w:afterAutospacing="1"/>
        <w:rPr>
          <w:rFonts w:ascii="Arial" w:eastAsia="Times New Roman" w:hAnsi="Arial" w:cs="Arial"/>
          <w:color w:val="656565"/>
          <w:sz w:val="22"/>
          <w:szCs w:val="22"/>
          <w:lang w:eastAsia="fr-FR"/>
        </w:rPr>
      </w:pPr>
      <w:r w:rsidRPr="00D3068E">
        <w:rPr>
          <w:rFonts w:ascii="Arial" w:eastAsia="Times New Roman" w:hAnsi="Arial" w:cs="Arial"/>
          <w:color w:val="656565"/>
          <w:sz w:val="22"/>
          <w:szCs w:val="22"/>
          <w:lang w:eastAsia="fr-FR"/>
        </w:rPr>
        <w:t>Lors de tels recours, la victime peut agir contre l’auteur du trouble, même s’il n’est pas propriétaire ; locataire ou entrepreneur </w:t>
      </w:r>
      <w:r w:rsidRPr="00D3068E">
        <w:rPr>
          <w:rFonts w:ascii="Arial" w:eastAsia="Times New Roman" w:hAnsi="Arial" w:cs="Arial"/>
          <w:b/>
          <w:bCs/>
          <w:color w:val="656565"/>
          <w:sz w:val="22"/>
          <w:szCs w:val="22"/>
          <w:lang w:eastAsia="fr-FR"/>
        </w:rPr>
        <w:t>ou contre le propriétaire, même s’il n’est pas l’auteur du trouble</w:t>
      </w:r>
      <w:r w:rsidRPr="00D3068E">
        <w:rPr>
          <w:rFonts w:ascii="Arial" w:eastAsia="Times New Roman" w:hAnsi="Arial" w:cs="Arial"/>
          <w:color w:val="656565"/>
          <w:sz w:val="22"/>
          <w:szCs w:val="22"/>
          <w:lang w:eastAsia="fr-FR"/>
        </w:rPr>
        <w:t> car il répond du locataire ou de l’entrepreneur. Le propriétaire, le locataire et l’entrepreneur étant solidairement responsables </w:t>
      </w:r>
      <w:hyperlink r:id="rId5" w:tgtFrame="_blank" w:history="1">
        <w:r w:rsidRPr="00D3068E">
          <w:rPr>
            <w:rFonts w:ascii="Arial" w:eastAsia="Times New Roman" w:hAnsi="Arial" w:cs="Arial"/>
            <w:color w:val="3E82BB"/>
            <w:sz w:val="22"/>
            <w:szCs w:val="22"/>
            <w:u w:val="single"/>
            <w:lang w:eastAsia="fr-FR"/>
          </w:rPr>
          <w:t>selon les analystes de la question</w:t>
        </w:r>
      </w:hyperlink>
      <w:r w:rsidRPr="00D3068E">
        <w:rPr>
          <w:rFonts w:ascii="Arial" w:eastAsia="Times New Roman" w:hAnsi="Arial" w:cs="Arial"/>
          <w:color w:val="656565"/>
          <w:sz w:val="22"/>
          <w:szCs w:val="22"/>
          <w:lang w:eastAsia="fr-FR"/>
        </w:rPr>
        <w:t>.</w:t>
      </w:r>
    </w:p>
    <w:p w:rsidR="00D3068E" w:rsidRPr="00D3068E" w:rsidRDefault="00D3068E" w:rsidP="00D3068E">
      <w:pPr>
        <w:spacing w:before="100" w:beforeAutospacing="1" w:after="100" w:afterAutospacing="1"/>
        <w:rPr>
          <w:rFonts w:ascii="Arial" w:eastAsia="Times New Roman" w:hAnsi="Arial" w:cs="Arial"/>
          <w:color w:val="656565"/>
          <w:sz w:val="22"/>
          <w:szCs w:val="22"/>
          <w:lang w:eastAsia="fr-FR"/>
        </w:rPr>
      </w:pPr>
      <w:r w:rsidRPr="00D3068E">
        <w:rPr>
          <w:rFonts w:ascii="Arial" w:eastAsia="Times New Roman" w:hAnsi="Arial" w:cs="Arial"/>
          <w:color w:val="656565"/>
          <w:sz w:val="22"/>
          <w:szCs w:val="22"/>
          <w:lang w:eastAsia="fr-FR"/>
        </w:rPr>
        <w:t>En effet, en matière de trouble de voisinage, la documentation juridique </w:t>
      </w:r>
      <w:hyperlink r:id="rId6" w:tgtFrame="_blank" w:history="1">
        <w:r w:rsidRPr="00D3068E">
          <w:rPr>
            <w:rFonts w:ascii="Arial" w:eastAsia="Times New Roman" w:hAnsi="Arial" w:cs="Arial"/>
            <w:color w:val="3E82BB"/>
            <w:sz w:val="22"/>
            <w:szCs w:val="22"/>
            <w:u w:val="single"/>
            <w:lang w:eastAsia="fr-FR"/>
          </w:rPr>
          <w:t>Dalloz précise </w:t>
        </w:r>
      </w:hyperlink>
      <w:r w:rsidRPr="00D3068E">
        <w:rPr>
          <w:rFonts w:ascii="Arial" w:eastAsia="Times New Roman" w:hAnsi="Arial" w:cs="Arial"/>
          <w:color w:val="656565"/>
          <w:sz w:val="22"/>
          <w:szCs w:val="22"/>
          <w:lang w:eastAsia="fr-FR"/>
        </w:rPr>
        <w:t>: </w:t>
      </w:r>
      <w:r w:rsidRPr="00D3068E">
        <w:rPr>
          <w:rFonts w:ascii="Arial" w:eastAsia="Times New Roman" w:hAnsi="Arial" w:cs="Arial"/>
          <w:i/>
          <w:iCs/>
          <w:color w:val="656565"/>
          <w:sz w:val="22"/>
          <w:szCs w:val="22"/>
          <w:lang w:eastAsia="fr-FR"/>
        </w:rPr>
        <w:t>« l’absence de faute ne permet pas d’échapper à une condamnation (</w:t>
      </w:r>
      <w:proofErr w:type="spellStart"/>
      <w:r w:rsidRPr="00D3068E">
        <w:rPr>
          <w:rFonts w:ascii="Arial" w:eastAsia="Times New Roman" w:hAnsi="Arial" w:cs="Arial"/>
          <w:i/>
          <w:iCs/>
          <w:color w:val="656565"/>
          <w:sz w:val="22"/>
          <w:szCs w:val="22"/>
          <w:lang w:eastAsia="fr-FR"/>
        </w:rPr>
        <w:t>Civ</w:t>
      </w:r>
      <w:proofErr w:type="spellEnd"/>
      <w:r w:rsidRPr="00D3068E">
        <w:rPr>
          <w:rFonts w:ascii="Arial" w:eastAsia="Times New Roman" w:hAnsi="Arial" w:cs="Arial"/>
          <w:i/>
          <w:iCs/>
          <w:color w:val="656565"/>
          <w:sz w:val="22"/>
          <w:szCs w:val="22"/>
          <w:lang w:eastAsia="fr-FR"/>
        </w:rPr>
        <w:t>. 3</w:t>
      </w:r>
      <w:r w:rsidRPr="00D3068E">
        <w:rPr>
          <w:rFonts w:ascii="Arial" w:eastAsia="Times New Roman" w:hAnsi="Arial" w:cs="Arial"/>
          <w:i/>
          <w:iCs/>
          <w:color w:val="656565"/>
          <w:sz w:val="22"/>
          <w:szCs w:val="22"/>
          <w:vertAlign w:val="superscript"/>
          <w:lang w:eastAsia="fr-FR"/>
        </w:rPr>
        <w:t>e</w:t>
      </w:r>
      <w:r w:rsidRPr="00D3068E">
        <w:rPr>
          <w:rFonts w:ascii="Arial" w:eastAsia="Times New Roman" w:hAnsi="Arial" w:cs="Arial"/>
          <w:i/>
          <w:iCs/>
          <w:color w:val="656565"/>
          <w:sz w:val="22"/>
          <w:szCs w:val="22"/>
          <w:lang w:eastAsia="fr-FR"/>
        </w:rPr>
        <w:t>, 4 févr. 1971, n° 69-12.528) ». </w:t>
      </w:r>
      <w:r w:rsidRPr="00D3068E">
        <w:rPr>
          <w:rFonts w:ascii="Arial" w:eastAsia="Times New Roman" w:hAnsi="Arial" w:cs="Arial"/>
          <w:color w:val="656565"/>
          <w:sz w:val="22"/>
          <w:szCs w:val="22"/>
          <w:lang w:eastAsia="fr-FR"/>
        </w:rPr>
        <w:t>Ce qui semble d’autant plus inquiétant pour tout recours du propriétaire du foncier que la jurisprudence précise </w:t>
      </w:r>
      <w:r w:rsidRPr="00D3068E">
        <w:rPr>
          <w:rFonts w:ascii="Arial" w:eastAsia="Times New Roman" w:hAnsi="Arial" w:cs="Arial"/>
          <w:i/>
          <w:iCs/>
          <w:color w:val="656565"/>
          <w:sz w:val="22"/>
          <w:szCs w:val="22"/>
          <w:lang w:eastAsia="fr-FR"/>
        </w:rPr>
        <w:t>« lorsque le trouble de voisinage émane d'un immeuble donné en location, la victime de ce trouble peut en demander </w:t>
      </w:r>
      <w:r w:rsidRPr="00D3068E">
        <w:rPr>
          <w:rFonts w:ascii="Arial" w:eastAsia="Times New Roman" w:hAnsi="Arial" w:cs="Arial"/>
          <w:i/>
          <w:iCs/>
          <w:color w:val="656565"/>
          <w:sz w:val="22"/>
          <w:szCs w:val="22"/>
          <w:u w:val="single"/>
          <w:lang w:eastAsia="fr-FR"/>
        </w:rPr>
        <w:t>réparation au propriétaire, qui dispose d'un recours</w:t>
      </w:r>
      <w:r w:rsidRPr="00D3068E">
        <w:rPr>
          <w:rFonts w:ascii="Arial" w:eastAsia="Times New Roman" w:hAnsi="Arial" w:cs="Arial"/>
          <w:i/>
          <w:iCs/>
          <w:color w:val="656565"/>
          <w:sz w:val="22"/>
          <w:szCs w:val="22"/>
          <w:lang w:eastAsia="fr-FR"/>
        </w:rPr>
        <w:t> contre son locataire </w:t>
      </w:r>
      <w:r w:rsidRPr="00D3068E">
        <w:rPr>
          <w:rFonts w:ascii="Arial" w:eastAsia="Times New Roman" w:hAnsi="Arial" w:cs="Arial"/>
          <w:i/>
          <w:iCs/>
          <w:color w:val="656565"/>
          <w:sz w:val="22"/>
          <w:szCs w:val="22"/>
          <w:u w:val="single"/>
          <w:lang w:eastAsia="fr-FR"/>
        </w:rPr>
        <w:t>lorsque les nuisances résultent d'un abus de jouissance ou d'un manquement aux obligations nées du bail </w:t>
      </w:r>
      <w:r w:rsidRPr="00D3068E">
        <w:rPr>
          <w:rFonts w:ascii="Arial" w:eastAsia="Times New Roman" w:hAnsi="Arial" w:cs="Arial"/>
          <w:i/>
          <w:iCs/>
          <w:color w:val="656565"/>
          <w:sz w:val="22"/>
          <w:szCs w:val="22"/>
          <w:lang w:eastAsia="fr-FR"/>
        </w:rPr>
        <w:t>» </w:t>
      </w:r>
      <w:r w:rsidRPr="00D3068E">
        <w:rPr>
          <w:rFonts w:ascii="Arial" w:eastAsia="Times New Roman" w:hAnsi="Arial" w:cs="Arial"/>
          <w:color w:val="656565"/>
          <w:sz w:val="22"/>
          <w:szCs w:val="22"/>
          <w:lang w:eastAsia="fr-FR"/>
        </w:rPr>
        <w:t>(</w:t>
      </w:r>
      <w:r w:rsidRPr="00D3068E">
        <w:rPr>
          <w:rFonts w:ascii="Arial" w:eastAsia="Times New Roman" w:hAnsi="Arial" w:cs="Arial"/>
          <w:i/>
          <w:iCs/>
          <w:color w:val="656565"/>
          <w:sz w:val="22"/>
          <w:szCs w:val="22"/>
          <w:lang w:eastAsia="fr-FR"/>
        </w:rPr>
        <w:t>Cour</w:t>
      </w:r>
      <w:r w:rsidRPr="00D3068E">
        <w:rPr>
          <w:rFonts w:ascii="Arial" w:eastAsia="Times New Roman" w:hAnsi="Arial" w:cs="Arial"/>
          <w:color w:val="656565"/>
          <w:sz w:val="22"/>
          <w:szCs w:val="22"/>
          <w:lang w:eastAsia="fr-FR"/>
        </w:rPr>
        <w:t> de Cassation, Chambre civile 2, du 8 juillet 1987, </w:t>
      </w:r>
      <w:hyperlink r:id="rId7" w:tgtFrame="_blank" w:history="1">
        <w:r w:rsidRPr="00D3068E">
          <w:rPr>
            <w:rFonts w:ascii="Arial" w:eastAsia="Times New Roman" w:hAnsi="Arial" w:cs="Arial"/>
            <w:color w:val="3E82BB"/>
            <w:sz w:val="22"/>
            <w:szCs w:val="22"/>
            <w:u w:val="single"/>
            <w:lang w:eastAsia="fr-FR"/>
          </w:rPr>
          <w:t>85-15.193</w:t>
        </w:r>
      </w:hyperlink>
      <w:r w:rsidRPr="00D3068E">
        <w:rPr>
          <w:rFonts w:ascii="Arial" w:eastAsia="Times New Roman" w:hAnsi="Arial" w:cs="Arial"/>
          <w:color w:val="656565"/>
          <w:sz w:val="22"/>
          <w:szCs w:val="22"/>
          <w:lang w:eastAsia="fr-FR"/>
        </w:rPr>
        <w:t>).</w:t>
      </w:r>
    </w:p>
    <w:p w:rsidR="00D3068E" w:rsidRPr="00D3068E" w:rsidRDefault="00D3068E" w:rsidP="00D3068E">
      <w:pPr>
        <w:spacing w:before="100" w:beforeAutospacing="1" w:after="100" w:afterAutospacing="1"/>
        <w:rPr>
          <w:rFonts w:ascii="Arial" w:eastAsia="Times New Roman" w:hAnsi="Arial" w:cs="Arial"/>
          <w:color w:val="656565"/>
          <w:sz w:val="22"/>
          <w:szCs w:val="22"/>
          <w:lang w:eastAsia="fr-FR"/>
        </w:rPr>
      </w:pPr>
      <w:r w:rsidRPr="00D3068E">
        <w:rPr>
          <w:rFonts w:ascii="Arial" w:eastAsia="Times New Roman" w:hAnsi="Arial" w:cs="Arial"/>
          <w:color w:val="656565"/>
          <w:sz w:val="22"/>
          <w:szCs w:val="22"/>
          <w:lang w:eastAsia="fr-FR"/>
        </w:rPr>
        <w:t xml:space="preserve">Cette disposition rend en effet problématique un tel recours du propriétaire foncier contre l’exploitant, dès lors que le trouble anormal de voisinage n’aurait pas mis en évidence un manquement à cette réglementation. La jurisprudence de Toulouse est de nature à inciter un </w:t>
      </w:r>
      <w:proofErr w:type="gramStart"/>
      <w:r w:rsidRPr="00D3068E">
        <w:rPr>
          <w:rFonts w:ascii="Arial" w:eastAsia="Times New Roman" w:hAnsi="Arial" w:cs="Arial"/>
          <w:color w:val="656565"/>
          <w:sz w:val="22"/>
          <w:szCs w:val="22"/>
          <w:lang w:eastAsia="fr-FR"/>
        </w:rPr>
        <w:t>nombre</w:t>
      </w:r>
      <w:proofErr w:type="gramEnd"/>
      <w:r w:rsidRPr="00D3068E">
        <w:rPr>
          <w:rFonts w:ascii="Arial" w:eastAsia="Times New Roman" w:hAnsi="Arial" w:cs="Arial"/>
          <w:color w:val="656565"/>
          <w:sz w:val="22"/>
          <w:szCs w:val="22"/>
          <w:lang w:eastAsia="fr-FR"/>
        </w:rPr>
        <w:t xml:space="preserve"> croissant de riverains d’éoliennes à réclamer la compensation financière de leur préjudice. Que le propriétaire du foncier soit un particulier ou une municipalité, leur responsabilité semble ainsi solidairement engagée aux côtés de l’exploitant, dans une action au civil les mettant en cause, et qui n’est même pas supposée rechercher la conformité administrative, ou non, des éoliennes querellées.</w:t>
      </w:r>
    </w:p>
    <w:p w:rsidR="00D3068E" w:rsidRPr="00D3068E" w:rsidRDefault="00D3068E" w:rsidP="00D3068E">
      <w:pPr>
        <w:spacing w:before="100" w:beforeAutospacing="1" w:after="100" w:afterAutospacing="1"/>
        <w:rPr>
          <w:rFonts w:ascii="Arial" w:eastAsia="Times New Roman" w:hAnsi="Arial" w:cs="Arial"/>
          <w:color w:val="656565"/>
          <w:sz w:val="22"/>
          <w:szCs w:val="22"/>
          <w:lang w:eastAsia="fr-FR"/>
        </w:rPr>
      </w:pPr>
      <w:r w:rsidRPr="00D3068E">
        <w:rPr>
          <w:rFonts w:ascii="Arial" w:eastAsia="Times New Roman" w:hAnsi="Arial" w:cs="Arial"/>
          <w:color w:val="656565"/>
          <w:sz w:val="22"/>
          <w:szCs w:val="22"/>
          <w:lang w:eastAsia="fr-FR"/>
        </w:rPr>
        <w:t>Les condamnation seraient d’ailleurs d’autant plus lourdes en cas d’action de groupe telle que celle jugée par la </w:t>
      </w:r>
      <w:hyperlink r:id="rId8" w:tgtFrame="_blank" w:history="1">
        <w:r w:rsidRPr="00D3068E">
          <w:rPr>
            <w:rFonts w:ascii="Arial" w:eastAsia="Times New Roman" w:hAnsi="Arial" w:cs="Arial"/>
            <w:color w:val="3E82BB"/>
            <w:sz w:val="22"/>
            <w:szCs w:val="22"/>
            <w:u w:val="single"/>
            <w:lang w:eastAsia="fr-FR"/>
          </w:rPr>
          <w:t>Cour d’Appel de Rennes du 12 mars 2024</w:t>
        </w:r>
      </w:hyperlink>
      <w:r w:rsidRPr="00D3068E">
        <w:rPr>
          <w:rFonts w:ascii="Arial" w:eastAsia="Times New Roman" w:hAnsi="Arial" w:cs="Arial"/>
          <w:color w:val="656565"/>
          <w:sz w:val="22"/>
          <w:szCs w:val="22"/>
          <w:lang w:eastAsia="fr-FR"/>
        </w:rPr>
        <w:t>, qui ordonne à l’exploitant, pour la réparation des troubles anormaux de voisinage subis réclamée par les plaignants, de verser </w:t>
      </w:r>
      <w:r w:rsidRPr="00D3068E">
        <w:rPr>
          <w:rFonts w:ascii="Arial" w:eastAsia="Times New Roman" w:hAnsi="Arial" w:cs="Arial"/>
          <w:color w:val="656565"/>
          <w:sz w:val="22"/>
          <w:szCs w:val="22"/>
          <w:u w:val="single"/>
          <w:lang w:eastAsia="fr-FR"/>
        </w:rPr>
        <w:t>633.400 euros</w:t>
      </w:r>
      <w:r w:rsidRPr="00D3068E">
        <w:rPr>
          <w:rFonts w:ascii="Arial" w:eastAsia="Times New Roman" w:hAnsi="Arial" w:cs="Arial"/>
          <w:color w:val="656565"/>
          <w:sz w:val="22"/>
          <w:szCs w:val="22"/>
          <w:lang w:eastAsia="fr-FR"/>
        </w:rPr>
        <w:t> aux 13 plaignants au titre de la dépréciation immobilière, en plus des frais d’expertise et de 5 000 euros de dépens par plaignant.</w:t>
      </w:r>
    </w:p>
    <w:p w:rsidR="00D3068E" w:rsidRDefault="00D3068E"/>
    <w:sectPr w:rsidR="00D3068E" w:rsidSect="00D3068E">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8E"/>
    <w:rsid w:val="008A2D2C"/>
    <w:rsid w:val="00D306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BB52DBB"/>
  <w15:chartTrackingRefBased/>
  <w15:docId w15:val="{90EE2EF8-A844-CB4F-B494-765CF031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D3068E"/>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3068E"/>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D3068E"/>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D306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985794">
      <w:bodyDiv w:val="1"/>
      <w:marLeft w:val="0"/>
      <w:marRight w:val="0"/>
      <w:marTop w:val="0"/>
      <w:marBottom w:val="0"/>
      <w:divBdr>
        <w:top w:val="none" w:sz="0" w:space="0" w:color="auto"/>
        <w:left w:val="none" w:sz="0" w:space="0" w:color="auto"/>
        <w:bottom w:val="none" w:sz="0" w:space="0" w:color="auto"/>
        <w:right w:val="none" w:sz="0" w:space="0" w:color="auto"/>
      </w:divBdr>
      <w:divsChild>
        <w:div w:id="8217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decassation.fr/en/decision/65f1519728057200093c4429?search_api_fulltext=%22193%22%20%22Code%20civil%22&amp;judilibre_juridiction=ca&amp;op=Rechercher%20sur%20judilibre&amp;previousdecisionpage=0&amp;previousdecisionindex=8&amp;nextdecisionpage=1&amp;nextdecisionin" TargetMode="External"/><Relationship Id="rId3" Type="http://schemas.openxmlformats.org/officeDocument/2006/relationships/webSettings" Target="webSettings.xml"/><Relationship Id="rId7" Type="http://schemas.openxmlformats.org/officeDocument/2006/relationships/hyperlink" Target="https://www.legifrance.gouv.fr/juri/id/JURITEXT0000070195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lloz-actualite.fr/flash/troubles-anormaux-du-voisinage-responsabilite-de-plein-droit-du-proprietaire-actuel" TargetMode="External"/><Relationship Id="rId5" Type="http://schemas.openxmlformats.org/officeDocument/2006/relationships/hyperlink" Target="https://www.lextant-avocats.com/fr/actualites/id-93-le-trouble-anormal-de-voisinage" TargetMode="External"/><Relationship Id="rId10" Type="http://schemas.openxmlformats.org/officeDocument/2006/relationships/theme" Target="theme/theme1.xml"/><Relationship Id="rId4" Type="http://schemas.openxmlformats.org/officeDocument/2006/relationships/hyperlink" Target="https://www.doctrine.fr/d/CA/Toulouse/2021/CA3D4AEFB490BBECBB6C6"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593</Words>
  <Characters>3266</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2024-05-21T09:49:00Z</dcterms:created>
  <dcterms:modified xsi:type="dcterms:W3CDTF">2024-05-21T09:50:00Z</dcterms:modified>
</cp:coreProperties>
</file>