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460"/>
      </w:tblGrid>
      <w:tr w:rsidR="001F3A68" w:rsidRPr="001F3A68" w:rsidTr="001F3A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1F3A68" w:rsidRPr="001F3A68">
              <w:tc>
                <w:tcPr>
                  <w:tcW w:w="0" w:type="auto"/>
                  <w:tcMar>
                    <w:top w:w="0" w:type="dxa"/>
                    <w:left w:w="270" w:type="dxa"/>
                    <w:bottom w:w="135" w:type="dxa"/>
                    <w:right w:w="270" w:type="dxa"/>
                  </w:tcMar>
                  <w:hideMark/>
                </w:tcPr>
                <w:p w:rsidR="001F3A68" w:rsidRPr="001F3A68" w:rsidRDefault="001F3A68" w:rsidP="001F3A68">
                  <w:pPr>
                    <w:spacing w:line="900" w:lineRule="atLeast"/>
                    <w:jc w:val="center"/>
                    <w:outlineLvl w:val="0"/>
                    <w:rPr>
                      <w:rFonts w:ascii="Helvetica" w:eastAsia="Times New Roman" w:hAnsi="Helvetica" w:cs="Times New Roman"/>
                      <w:b/>
                      <w:bCs/>
                      <w:color w:val="222222"/>
                      <w:kern w:val="36"/>
                      <w:sz w:val="36"/>
                      <w:szCs w:val="36"/>
                      <w:lang w:eastAsia="fr-FR"/>
                    </w:rPr>
                  </w:pPr>
                  <w:bookmarkStart w:id="0" w:name="_GoBack"/>
                  <w:bookmarkEnd w:id="0"/>
                  <w:r w:rsidRPr="001F3A68">
                    <w:rPr>
                      <w:rFonts w:ascii="Helvetica" w:eastAsia="Times New Roman" w:hAnsi="Helvetica" w:cs="Times New Roman"/>
                      <w:b/>
                      <w:bCs/>
                      <w:color w:val="222222"/>
                      <w:kern w:val="36"/>
                      <w:sz w:val="36"/>
                      <w:szCs w:val="36"/>
                      <w:lang w:eastAsia="fr-FR"/>
                    </w:rPr>
                    <w:t>Un recours juridique exemplaire contre un projet de « </w:t>
                  </w:r>
                  <w:proofErr w:type="spellStart"/>
                  <w:r w:rsidRPr="001F3A68">
                    <w:rPr>
                      <w:rFonts w:ascii="Helvetica" w:eastAsia="Times New Roman" w:hAnsi="Helvetica" w:cs="Times New Roman"/>
                      <w:b/>
                      <w:bCs/>
                      <w:color w:val="222222"/>
                      <w:kern w:val="36"/>
                      <w:sz w:val="36"/>
                      <w:szCs w:val="36"/>
                      <w:lang w:eastAsia="fr-FR"/>
                    </w:rPr>
                    <w:t>repowering</w:t>
                  </w:r>
                  <w:proofErr w:type="spellEnd"/>
                  <w:r w:rsidRPr="001F3A68">
                    <w:rPr>
                      <w:rFonts w:ascii="Helvetica" w:eastAsia="Times New Roman" w:hAnsi="Helvetica" w:cs="Times New Roman"/>
                      <w:b/>
                      <w:bCs/>
                      <w:color w:val="222222"/>
                      <w:kern w:val="36"/>
                      <w:sz w:val="36"/>
                      <w:szCs w:val="36"/>
                      <w:lang w:eastAsia="fr-FR"/>
                    </w:rPr>
                    <w:t> » dans l'Hérault</w:t>
                  </w:r>
                </w:p>
              </w:tc>
            </w:tr>
          </w:tbl>
          <w:p w:rsidR="001F3A68" w:rsidRPr="001F3A68" w:rsidRDefault="001F3A68" w:rsidP="001F3A68">
            <w:pPr>
              <w:rPr>
                <w:rFonts w:ascii="TimesNewRomanPSMT" w:eastAsia="Times New Roman" w:hAnsi="TimesNewRomanPSMT" w:cs="TimesNewRomanPSMT"/>
                <w:color w:val="000000"/>
                <w:sz w:val="21"/>
                <w:szCs w:val="21"/>
                <w:lang w:eastAsia="fr-FR"/>
              </w:rPr>
            </w:pPr>
          </w:p>
        </w:tc>
      </w:tr>
    </w:tbl>
    <w:p w:rsidR="001F3A68" w:rsidRPr="001F3A68" w:rsidRDefault="001F3A68" w:rsidP="001F3A68">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460"/>
      </w:tblGrid>
      <w:tr w:rsidR="001F3A68" w:rsidRPr="001F3A68" w:rsidTr="001F3A6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0"/>
            </w:tblGrid>
            <w:tr w:rsidR="001F3A68" w:rsidRPr="001F3A68">
              <w:tc>
                <w:tcPr>
                  <w:tcW w:w="0" w:type="auto"/>
                  <w:tcMar>
                    <w:top w:w="0" w:type="dxa"/>
                    <w:left w:w="135" w:type="dxa"/>
                    <w:bottom w:w="0" w:type="dxa"/>
                    <w:right w:w="135" w:type="dxa"/>
                  </w:tcMar>
                  <w:hideMark/>
                </w:tcPr>
                <w:p w:rsidR="001F3A68" w:rsidRPr="001F3A68" w:rsidRDefault="001F3A68" w:rsidP="001F3A68">
                  <w:pPr>
                    <w:jc w:val="center"/>
                    <w:rPr>
                      <w:rFonts w:ascii="Times New Roman" w:eastAsia="Times New Roman" w:hAnsi="Times New Roman" w:cs="Times New Roman"/>
                      <w:lang w:eastAsia="fr-FR"/>
                    </w:rPr>
                  </w:pPr>
                </w:p>
              </w:tc>
            </w:tr>
          </w:tbl>
          <w:p w:rsidR="001F3A68" w:rsidRPr="001F3A68" w:rsidRDefault="001F3A68" w:rsidP="001F3A68">
            <w:pPr>
              <w:rPr>
                <w:rFonts w:ascii="TimesNewRomanPSMT" w:eastAsia="Times New Roman" w:hAnsi="TimesNewRomanPSMT" w:cs="TimesNewRomanPSMT"/>
                <w:color w:val="000000"/>
                <w:sz w:val="21"/>
                <w:szCs w:val="21"/>
                <w:lang w:eastAsia="fr-FR"/>
              </w:rPr>
            </w:pPr>
          </w:p>
        </w:tc>
      </w:tr>
    </w:tbl>
    <w:p w:rsidR="001F3A68" w:rsidRPr="001F3A68" w:rsidRDefault="001F3A68" w:rsidP="001F3A68">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460"/>
      </w:tblGrid>
      <w:tr w:rsidR="001F3A68" w:rsidRPr="001F3A68" w:rsidTr="001F3A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1F3A68" w:rsidRPr="001F3A68">
              <w:tc>
                <w:tcPr>
                  <w:tcW w:w="0" w:type="auto"/>
                  <w:tcMar>
                    <w:top w:w="135" w:type="dxa"/>
                    <w:left w:w="270" w:type="dxa"/>
                    <w:bottom w:w="135" w:type="dxa"/>
                    <w:right w:w="270" w:type="dxa"/>
                  </w:tcMar>
                  <w:vAlign w:val="center"/>
                  <w:hideMark/>
                </w:tcPr>
                <w:tbl>
                  <w:tblPr>
                    <w:tblW w:w="5000" w:type="pct"/>
                    <w:shd w:val="clear" w:color="auto" w:fill="5ED58D"/>
                    <w:tblCellMar>
                      <w:top w:w="15" w:type="dxa"/>
                      <w:left w:w="15" w:type="dxa"/>
                      <w:bottom w:w="15" w:type="dxa"/>
                      <w:right w:w="15" w:type="dxa"/>
                    </w:tblCellMar>
                    <w:tblLook w:val="04A0" w:firstRow="1" w:lastRow="0" w:firstColumn="1" w:lastColumn="0" w:noHBand="0" w:noVBand="1"/>
                  </w:tblPr>
                  <w:tblGrid>
                    <w:gridCol w:w="9920"/>
                  </w:tblGrid>
                  <w:tr w:rsidR="001F3A68" w:rsidRPr="001F3A68" w:rsidTr="001F3A68">
                    <w:tc>
                      <w:tcPr>
                        <w:tcW w:w="5000" w:type="pct"/>
                        <w:shd w:val="clear" w:color="auto" w:fill="5ED58D"/>
                        <w:tcMar>
                          <w:top w:w="270" w:type="dxa"/>
                          <w:left w:w="270" w:type="dxa"/>
                          <w:bottom w:w="270" w:type="dxa"/>
                          <w:right w:w="270" w:type="dxa"/>
                        </w:tcMar>
                        <w:hideMark/>
                      </w:tcPr>
                      <w:p w:rsidR="001F3A68" w:rsidRPr="001F3A68" w:rsidRDefault="001F3A68" w:rsidP="001F3A68">
                        <w:pPr>
                          <w:spacing w:line="315" w:lineRule="atLeast"/>
                          <w:jc w:val="center"/>
                          <w:rPr>
                            <w:rFonts w:ascii="Helvetica" w:eastAsia="Times New Roman" w:hAnsi="Helvetica" w:cs="Times New Roman"/>
                            <w:color w:val="404040"/>
                            <w:sz w:val="21"/>
                            <w:szCs w:val="21"/>
                            <w:lang w:eastAsia="fr-FR"/>
                          </w:rPr>
                        </w:pPr>
                        <w:r w:rsidRPr="001F3A68">
                          <w:rPr>
                            <w:rFonts w:ascii="Helvetica" w:eastAsia="Times New Roman" w:hAnsi="Helvetica" w:cs="Times New Roman"/>
                            <w:b/>
                            <w:bCs/>
                            <w:color w:val="404040"/>
                            <w:sz w:val="27"/>
                            <w:szCs w:val="27"/>
                            <w:lang w:eastAsia="fr-FR"/>
                          </w:rPr>
                          <w:t xml:space="preserve">LE « REPOWERING » </w:t>
                        </w:r>
                        <w:r w:rsidRPr="001F3A68">
                          <w:rPr>
                            <w:rFonts w:ascii="Helvetica" w:eastAsia="Times New Roman" w:hAnsi="Helvetica" w:cs="Times New Roman"/>
                            <w:b/>
                            <w:bCs/>
                            <w:color w:val="404040"/>
                            <w:sz w:val="27"/>
                            <w:szCs w:val="27"/>
                            <w:lang w:eastAsia="fr-FR"/>
                          </w:rPr>
                          <w:t>DANS LE PARC NATUREL DU HAUT LANGUEDOC EST UNE ESCROQUERIE </w:t>
                        </w:r>
                        <w:r w:rsidRPr="001F3A68">
                          <w:rPr>
                            <w:rFonts w:ascii="Helvetica" w:eastAsia="Times New Roman" w:hAnsi="Helvetica" w:cs="Times New Roman"/>
                            <w:color w:val="404040"/>
                            <w:sz w:val="27"/>
                            <w:szCs w:val="27"/>
                            <w:lang w:eastAsia="fr-FR"/>
                          </w:rPr>
                          <w:br/>
                        </w:r>
                        <w:r w:rsidRPr="001F3A68">
                          <w:rPr>
                            <w:rFonts w:ascii="Helvetica" w:eastAsia="Times New Roman" w:hAnsi="Helvetica" w:cs="Times New Roman"/>
                            <w:color w:val="404040"/>
                            <w:sz w:val="27"/>
                            <w:szCs w:val="27"/>
                            <w:lang w:eastAsia="fr-FR"/>
                          </w:rPr>
                          <w:br/>
                        </w:r>
                        <w:r w:rsidRPr="001F3A68">
                          <w:rPr>
                            <w:rFonts w:ascii="Helvetica" w:eastAsia="Times New Roman" w:hAnsi="Helvetica" w:cs="Times New Roman"/>
                            <w:b/>
                            <w:bCs/>
                            <w:color w:val="404040"/>
                            <w:sz w:val="27"/>
                            <w:szCs w:val="27"/>
                            <w:lang w:eastAsia="fr-FR"/>
                          </w:rPr>
                          <w:t>PLUS DE NUISANCES POUR LES RIVERAINS ET LA BIODIVERSITÉ</w:t>
                        </w:r>
                        <w:r w:rsidRPr="001F3A68">
                          <w:rPr>
                            <w:rFonts w:ascii="Helvetica" w:eastAsia="Times New Roman" w:hAnsi="Helvetica" w:cs="Times New Roman"/>
                            <w:b/>
                            <w:bCs/>
                            <w:color w:val="404040"/>
                            <w:sz w:val="27"/>
                            <w:szCs w:val="27"/>
                            <w:lang w:eastAsia="fr-FR"/>
                          </w:rPr>
                          <w:br/>
                        </w:r>
                        <w:r w:rsidRPr="001F3A68">
                          <w:rPr>
                            <w:rFonts w:ascii="Helvetica" w:eastAsia="Times New Roman" w:hAnsi="Helvetica" w:cs="Times New Roman"/>
                            <w:b/>
                            <w:bCs/>
                            <w:color w:val="404040"/>
                            <w:sz w:val="27"/>
                            <w:szCs w:val="27"/>
                            <w:lang w:eastAsia="fr-FR"/>
                          </w:rPr>
                          <w:br/>
                          <w:t>MOINS DE CONTRAINTES POUR LES PROMOTEURS</w:t>
                        </w:r>
                      </w:p>
                    </w:tc>
                  </w:tr>
                </w:tbl>
                <w:p w:rsidR="001F3A68" w:rsidRPr="001F3A68" w:rsidRDefault="001F3A68" w:rsidP="001F3A68">
                  <w:pPr>
                    <w:rPr>
                      <w:rFonts w:ascii="Times New Roman" w:eastAsia="Times New Roman" w:hAnsi="Times New Roman" w:cs="Times New Roman"/>
                      <w:lang w:eastAsia="fr-FR"/>
                    </w:rPr>
                  </w:pPr>
                </w:p>
              </w:tc>
            </w:tr>
          </w:tbl>
          <w:p w:rsidR="001F3A68" w:rsidRPr="001F3A68" w:rsidRDefault="001F3A68" w:rsidP="001F3A68">
            <w:pPr>
              <w:rPr>
                <w:rFonts w:ascii="TimesNewRomanPSMT" w:eastAsia="Times New Roman" w:hAnsi="TimesNewRomanPSMT" w:cs="TimesNewRomanPSMT"/>
                <w:color w:val="000000"/>
                <w:sz w:val="21"/>
                <w:szCs w:val="21"/>
                <w:lang w:eastAsia="fr-FR"/>
              </w:rPr>
            </w:pPr>
          </w:p>
        </w:tc>
      </w:tr>
    </w:tbl>
    <w:p w:rsidR="001F3A68" w:rsidRPr="001F3A68" w:rsidRDefault="001F3A68" w:rsidP="001F3A68">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460"/>
      </w:tblGrid>
      <w:tr w:rsidR="001F3A68" w:rsidRPr="001F3A68" w:rsidTr="001F3A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1F3A68" w:rsidRPr="001F3A68">
              <w:tc>
                <w:tcPr>
                  <w:tcW w:w="0" w:type="auto"/>
                  <w:tcMar>
                    <w:top w:w="135" w:type="dxa"/>
                    <w:left w:w="270" w:type="dxa"/>
                    <w:bottom w:w="135" w:type="dxa"/>
                    <w:right w:w="270" w:type="dxa"/>
                  </w:tcMar>
                  <w:vAlign w:val="center"/>
                  <w:hideMark/>
                </w:tcPr>
                <w:tbl>
                  <w:tblPr>
                    <w:tblW w:w="5000" w:type="pct"/>
                    <w:shd w:val="clear" w:color="auto" w:fill="FFC73A"/>
                    <w:tblCellMar>
                      <w:top w:w="15" w:type="dxa"/>
                      <w:left w:w="15" w:type="dxa"/>
                      <w:bottom w:w="15" w:type="dxa"/>
                      <w:right w:w="15" w:type="dxa"/>
                    </w:tblCellMar>
                    <w:tblLook w:val="04A0" w:firstRow="1" w:lastRow="0" w:firstColumn="1" w:lastColumn="0" w:noHBand="0" w:noVBand="1"/>
                  </w:tblPr>
                  <w:tblGrid>
                    <w:gridCol w:w="9920"/>
                  </w:tblGrid>
                  <w:tr w:rsidR="001F3A68" w:rsidRPr="001F3A68">
                    <w:tc>
                      <w:tcPr>
                        <w:tcW w:w="0" w:type="auto"/>
                        <w:shd w:val="clear" w:color="auto" w:fill="FFC73A"/>
                        <w:tcMar>
                          <w:top w:w="270" w:type="dxa"/>
                          <w:left w:w="270" w:type="dxa"/>
                          <w:bottom w:w="270" w:type="dxa"/>
                          <w:right w:w="270" w:type="dxa"/>
                        </w:tcMar>
                        <w:hideMark/>
                      </w:tcPr>
                      <w:p w:rsidR="001F3A68" w:rsidRPr="001F3A68" w:rsidRDefault="001F3A68" w:rsidP="001F3A68">
                        <w:pPr>
                          <w:spacing w:line="315" w:lineRule="atLeast"/>
                          <w:jc w:val="both"/>
                          <w:rPr>
                            <w:rFonts w:ascii="Helvetica" w:eastAsia="Times New Roman" w:hAnsi="Helvetica" w:cs="Times New Roman"/>
                            <w:color w:val="404040"/>
                            <w:sz w:val="21"/>
                            <w:szCs w:val="21"/>
                            <w:lang w:eastAsia="fr-FR"/>
                          </w:rPr>
                        </w:pPr>
                        <w:r w:rsidRPr="001F3A68">
                          <w:rPr>
                            <w:rFonts w:ascii="Arial" w:eastAsia="Times New Roman" w:hAnsi="Arial" w:cs="Arial"/>
                            <w:color w:val="404040"/>
                            <w:sz w:val="27"/>
                            <w:szCs w:val="27"/>
                            <w:lang w:eastAsia="fr-FR"/>
                          </w:rPr>
                          <w:t>On nous avait annoncé que le remplacement des éoliennes industrielles par « </w:t>
                        </w:r>
                        <w:proofErr w:type="spellStart"/>
                        <w:r w:rsidRPr="001F3A68">
                          <w:rPr>
                            <w:rFonts w:ascii="Arial" w:eastAsia="Times New Roman" w:hAnsi="Arial" w:cs="Arial"/>
                            <w:color w:val="404040"/>
                            <w:sz w:val="27"/>
                            <w:szCs w:val="27"/>
                            <w:lang w:eastAsia="fr-FR"/>
                          </w:rPr>
                          <w:t>repowering</w:t>
                        </w:r>
                        <w:proofErr w:type="spellEnd"/>
                        <w:r w:rsidRPr="001F3A68">
                          <w:rPr>
                            <w:rFonts w:ascii="Arial" w:eastAsia="Times New Roman" w:hAnsi="Arial" w:cs="Arial"/>
                            <w:color w:val="404040"/>
                            <w:sz w:val="27"/>
                            <w:szCs w:val="27"/>
                            <w:lang w:eastAsia="fr-FR"/>
                          </w:rPr>
                          <w:t> » permettrait d'en diminuer le nombre et les nuisances, tout en augmentant leur puissance. </w:t>
                        </w:r>
                        <w:r w:rsidRPr="001F3A68">
                          <w:rPr>
                            <w:rFonts w:ascii="Arial" w:eastAsia="Times New Roman" w:hAnsi="Arial" w:cs="Arial"/>
                            <w:color w:val="404040"/>
                            <w:sz w:val="27"/>
                            <w:szCs w:val="27"/>
                            <w:lang w:eastAsia="fr-FR"/>
                          </w:rPr>
                          <w:br/>
                        </w:r>
                        <w:r w:rsidRPr="001F3A68">
                          <w:rPr>
                            <w:rFonts w:ascii="Arial" w:eastAsia="Times New Roman" w:hAnsi="Arial" w:cs="Arial"/>
                            <w:color w:val="404040"/>
                            <w:sz w:val="27"/>
                            <w:szCs w:val="27"/>
                            <w:lang w:eastAsia="fr-FR"/>
                          </w:rPr>
                          <w:br/>
                        </w:r>
                        <w:r w:rsidRPr="001F3A68">
                          <w:rPr>
                            <w:rFonts w:ascii="Arial" w:eastAsia="Times New Roman" w:hAnsi="Arial" w:cs="Arial"/>
                            <w:b/>
                            <w:bCs/>
                            <w:color w:val="404040"/>
                            <w:sz w:val="27"/>
                            <w:szCs w:val="27"/>
                            <w:lang w:eastAsia="fr-FR"/>
                          </w:rPr>
                          <w:t>C'était un mensonge de plus</w:t>
                        </w:r>
                        <w:r w:rsidRPr="001F3A68">
                          <w:rPr>
                            <w:rFonts w:ascii="Arial" w:eastAsia="Times New Roman" w:hAnsi="Arial" w:cs="Arial"/>
                            <w:color w:val="404040"/>
                            <w:sz w:val="27"/>
                            <w:szCs w:val="27"/>
                            <w:lang w:eastAsia="fr-FR"/>
                          </w:rPr>
                          <w:t xml:space="preserve">. A Cambon et </w:t>
                        </w:r>
                        <w:proofErr w:type="spellStart"/>
                        <w:r w:rsidRPr="001F3A68">
                          <w:rPr>
                            <w:rFonts w:ascii="Arial" w:eastAsia="Times New Roman" w:hAnsi="Arial" w:cs="Arial"/>
                            <w:color w:val="404040"/>
                            <w:sz w:val="27"/>
                            <w:szCs w:val="27"/>
                            <w:lang w:eastAsia="fr-FR"/>
                          </w:rPr>
                          <w:t>Salvergues</w:t>
                        </w:r>
                        <w:proofErr w:type="spellEnd"/>
                        <w:r w:rsidRPr="001F3A68">
                          <w:rPr>
                            <w:rFonts w:ascii="Arial" w:eastAsia="Times New Roman" w:hAnsi="Arial" w:cs="Arial"/>
                            <w:color w:val="404040"/>
                            <w:sz w:val="27"/>
                            <w:szCs w:val="27"/>
                            <w:lang w:eastAsia="fr-FR"/>
                          </w:rPr>
                          <w:t xml:space="preserve"> (34) au cœur du parc naturel régional, le préfet autorise par un simple arrêté le remplacement de 23 éoliennes de 99 mètres par 23 éoliennes de 125 mètres !!</w:t>
                        </w:r>
                        <w:r w:rsidRPr="001F3A68">
                          <w:rPr>
                            <w:rFonts w:ascii="Arial" w:eastAsia="Times New Roman" w:hAnsi="Arial" w:cs="Arial"/>
                            <w:color w:val="404040"/>
                            <w:sz w:val="27"/>
                            <w:szCs w:val="27"/>
                            <w:lang w:eastAsia="fr-FR"/>
                          </w:rPr>
                          <w:br/>
                        </w:r>
                        <w:r w:rsidRPr="001F3A68">
                          <w:rPr>
                            <w:rFonts w:ascii="Arial" w:eastAsia="Times New Roman" w:hAnsi="Arial" w:cs="Arial"/>
                            <w:color w:val="404040"/>
                            <w:sz w:val="27"/>
                            <w:szCs w:val="27"/>
                            <w:lang w:eastAsia="fr-FR"/>
                          </w:rPr>
                          <w:br/>
                          <w:t>Leurs rotors géants de 92 mètres formeraient un écran mortel de 15 hectares - soit 21 terrains de foot ! - pour les nombreuses espèces protégées d'oiseaux et de chiroptères présentes sur le secteur ou migratrices. </w:t>
                        </w:r>
                        <w:r w:rsidRPr="001F3A68">
                          <w:rPr>
                            <w:rFonts w:ascii="Arial" w:eastAsia="Times New Roman" w:hAnsi="Arial" w:cs="Arial"/>
                            <w:color w:val="404040"/>
                            <w:sz w:val="27"/>
                            <w:szCs w:val="27"/>
                            <w:lang w:eastAsia="fr-FR"/>
                          </w:rPr>
                          <w:br/>
                        </w:r>
                        <w:r w:rsidRPr="001F3A68">
                          <w:rPr>
                            <w:rFonts w:ascii="Arial" w:eastAsia="Times New Roman" w:hAnsi="Arial" w:cs="Arial"/>
                            <w:color w:val="404040"/>
                            <w:sz w:val="27"/>
                            <w:szCs w:val="27"/>
                            <w:lang w:eastAsia="fr-FR"/>
                          </w:rPr>
                          <w:br/>
                        </w:r>
                        <w:r w:rsidRPr="001F3A68">
                          <w:rPr>
                            <w:rFonts w:ascii="Arial" w:eastAsia="Times New Roman" w:hAnsi="Arial" w:cs="Arial"/>
                            <w:b/>
                            <w:bCs/>
                            <w:color w:val="404040"/>
                            <w:sz w:val="27"/>
                            <w:szCs w:val="27"/>
                            <w:lang w:eastAsia="fr-FR"/>
                          </w:rPr>
                          <w:t>Le préfet estime sans doute qu'il vaut mieux ne rien savoir</w:t>
                        </w:r>
                        <w:r w:rsidRPr="001F3A68">
                          <w:rPr>
                            <w:rFonts w:ascii="Arial" w:eastAsia="Times New Roman" w:hAnsi="Arial" w:cs="Arial"/>
                            <w:color w:val="404040"/>
                            <w:sz w:val="27"/>
                            <w:szCs w:val="27"/>
                            <w:lang w:eastAsia="fr-FR"/>
                          </w:rPr>
                          <w:t> : en vingt ans l'exploitant de cette centrale éolienne, peu scrupuleux, n'a produit qu'un seul suivi de mortalité de la faune volante exploitable, et on ne lui pas demandé de respecter ses obligations ! </w:t>
                        </w:r>
                        <w:r w:rsidRPr="001F3A68">
                          <w:rPr>
                            <w:rFonts w:ascii="Arial" w:eastAsia="Times New Roman" w:hAnsi="Arial" w:cs="Arial"/>
                            <w:color w:val="404040"/>
                            <w:sz w:val="27"/>
                            <w:szCs w:val="27"/>
                            <w:lang w:eastAsia="fr-FR"/>
                          </w:rPr>
                          <w:br/>
                        </w:r>
                        <w:r w:rsidRPr="001F3A68">
                          <w:rPr>
                            <w:rFonts w:ascii="Arial" w:eastAsia="Times New Roman" w:hAnsi="Arial" w:cs="Arial"/>
                            <w:color w:val="404040"/>
                            <w:sz w:val="27"/>
                            <w:szCs w:val="27"/>
                            <w:lang w:eastAsia="fr-FR"/>
                          </w:rPr>
                          <w:br/>
                        </w:r>
                        <w:r w:rsidRPr="001F3A68">
                          <w:rPr>
                            <w:rFonts w:ascii="Arial" w:eastAsia="Times New Roman" w:hAnsi="Arial" w:cs="Arial"/>
                            <w:b/>
                            <w:bCs/>
                            <w:color w:val="404040"/>
                            <w:sz w:val="27"/>
                            <w:szCs w:val="27"/>
                            <w:lang w:eastAsia="fr-FR"/>
                          </w:rPr>
                          <w:t>Malgré un avis très défavorable du PNR</w:t>
                        </w:r>
                        <w:r w:rsidRPr="001F3A68">
                          <w:rPr>
                            <w:rFonts w:ascii="Arial" w:eastAsia="Times New Roman" w:hAnsi="Arial" w:cs="Arial"/>
                            <w:color w:val="404040"/>
                            <w:sz w:val="27"/>
                            <w:szCs w:val="27"/>
                            <w:lang w:eastAsia="fr-FR"/>
                          </w:rPr>
                          <w:t>, en raison de l'implantation de 2 des machines dans une Zone spéciale de conservation, et des faiblesses de l'étude paysagère, le préfet a refusé toute possibilité de consultation du public, il considère qu'il s'agit d'une "modification non substantielle" ! </w:t>
                        </w:r>
                        <w:r w:rsidRPr="001F3A68">
                          <w:rPr>
                            <w:rFonts w:ascii="Helvetica" w:eastAsia="Times New Roman" w:hAnsi="Helvetica" w:cs="Times New Roman"/>
                            <w:color w:val="404040"/>
                            <w:sz w:val="27"/>
                            <w:szCs w:val="27"/>
                            <w:lang w:eastAsia="fr-FR"/>
                          </w:rPr>
                          <w:br/>
                        </w:r>
                        <w:r w:rsidRPr="001F3A68">
                          <w:rPr>
                            <w:rFonts w:ascii="Helvetica" w:eastAsia="Times New Roman" w:hAnsi="Helvetica" w:cs="Times New Roman"/>
                            <w:color w:val="404040"/>
                            <w:sz w:val="27"/>
                            <w:szCs w:val="27"/>
                            <w:lang w:eastAsia="fr-FR"/>
                          </w:rPr>
                          <w:br/>
                        </w:r>
                        <w:r w:rsidRPr="001F3A68">
                          <w:rPr>
                            <w:rFonts w:ascii="Arial" w:eastAsia="Times New Roman" w:hAnsi="Arial" w:cs="Arial"/>
                            <w:color w:val="404040"/>
                            <w:sz w:val="27"/>
                            <w:szCs w:val="27"/>
                            <w:lang w:eastAsia="fr-FR"/>
                          </w:rPr>
                          <w:t>Laisser agir les autorités avec un tel mépris de l'environnement et des habitants, ce serait ouvrir la voie à une série de décisions catastrophiques pour le patrimoine naturel et paysager d'Occitanie. </w:t>
                        </w:r>
                      </w:p>
                    </w:tc>
                  </w:tr>
                </w:tbl>
                <w:p w:rsidR="001F3A68" w:rsidRPr="001F3A68" w:rsidRDefault="001F3A68" w:rsidP="001F3A68">
                  <w:pPr>
                    <w:rPr>
                      <w:rFonts w:ascii="Times New Roman" w:eastAsia="Times New Roman" w:hAnsi="Times New Roman" w:cs="Times New Roman"/>
                      <w:lang w:eastAsia="fr-FR"/>
                    </w:rPr>
                  </w:pPr>
                </w:p>
              </w:tc>
            </w:tr>
          </w:tbl>
          <w:p w:rsidR="001F3A68" w:rsidRPr="001F3A68" w:rsidRDefault="001F3A68" w:rsidP="001F3A68">
            <w:pPr>
              <w:rPr>
                <w:rFonts w:ascii="TimesNewRomanPSMT" w:eastAsia="Times New Roman" w:hAnsi="TimesNewRomanPSMT" w:cs="TimesNewRomanPSMT"/>
                <w:color w:val="000000"/>
                <w:sz w:val="21"/>
                <w:szCs w:val="21"/>
                <w:lang w:eastAsia="fr-FR"/>
              </w:rPr>
            </w:pPr>
          </w:p>
        </w:tc>
      </w:tr>
    </w:tbl>
    <w:p w:rsidR="001F3A68" w:rsidRPr="001F3A68" w:rsidRDefault="001F3A68" w:rsidP="001F3A68">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460"/>
      </w:tblGrid>
      <w:tr w:rsidR="001F3A68" w:rsidRPr="001F3A68" w:rsidTr="001F3A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1F3A68" w:rsidRPr="001F3A68">
              <w:tc>
                <w:tcPr>
                  <w:tcW w:w="0" w:type="auto"/>
                  <w:tcMar>
                    <w:top w:w="135" w:type="dxa"/>
                    <w:left w:w="270" w:type="dxa"/>
                    <w:bottom w:w="135" w:type="dxa"/>
                    <w:right w:w="270" w:type="dxa"/>
                  </w:tcMar>
                  <w:vAlign w:val="center"/>
                  <w:hideMark/>
                </w:tcPr>
                <w:tbl>
                  <w:tblPr>
                    <w:tblW w:w="5000" w:type="pct"/>
                    <w:shd w:val="clear" w:color="auto" w:fill="5ED58D"/>
                    <w:tblCellMar>
                      <w:top w:w="15" w:type="dxa"/>
                      <w:left w:w="15" w:type="dxa"/>
                      <w:bottom w:w="15" w:type="dxa"/>
                      <w:right w:w="15" w:type="dxa"/>
                    </w:tblCellMar>
                    <w:tblLook w:val="04A0" w:firstRow="1" w:lastRow="0" w:firstColumn="1" w:lastColumn="0" w:noHBand="0" w:noVBand="1"/>
                  </w:tblPr>
                  <w:tblGrid>
                    <w:gridCol w:w="9920"/>
                  </w:tblGrid>
                  <w:tr w:rsidR="001F3A68" w:rsidRPr="001F3A68">
                    <w:tc>
                      <w:tcPr>
                        <w:tcW w:w="0" w:type="auto"/>
                        <w:shd w:val="clear" w:color="auto" w:fill="5ED58D"/>
                        <w:tcMar>
                          <w:top w:w="270" w:type="dxa"/>
                          <w:left w:w="270" w:type="dxa"/>
                          <w:bottom w:w="270" w:type="dxa"/>
                          <w:right w:w="270" w:type="dxa"/>
                        </w:tcMar>
                        <w:hideMark/>
                      </w:tcPr>
                      <w:p w:rsidR="001F3A68" w:rsidRPr="001F3A68" w:rsidRDefault="001F3A68" w:rsidP="001F3A68">
                        <w:pPr>
                          <w:spacing w:line="315" w:lineRule="atLeast"/>
                          <w:rPr>
                            <w:rFonts w:ascii="Helvetica" w:eastAsia="Times New Roman" w:hAnsi="Helvetica" w:cs="Times New Roman"/>
                            <w:color w:val="18140C"/>
                            <w:sz w:val="21"/>
                            <w:szCs w:val="21"/>
                            <w:lang w:eastAsia="fr-FR"/>
                          </w:rPr>
                        </w:pPr>
                        <w:r w:rsidRPr="001F3A68">
                          <w:rPr>
                            <w:rFonts w:ascii="Helvetica" w:eastAsia="Times New Roman" w:hAnsi="Helvetica" w:cs="Times New Roman"/>
                            <w:b/>
                            <w:bCs/>
                            <w:color w:val="18140C"/>
                            <w:sz w:val="27"/>
                            <w:szCs w:val="27"/>
                            <w:lang w:eastAsia="fr-FR"/>
                          </w:rPr>
                          <w:t>Nous attaquons donc cet arrêté inacceptable devant la Cour administrative d'appel de Toulouse.</w:t>
                        </w:r>
                        <w:r w:rsidRPr="001F3A68">
                          <w:rPr>
                            <w:rFonts w:ascii="Helvetica" w:eastAsia="Times New Roman" w:hAnsi="Helvetica" w:cs="Times New Roman"/>
                            <w:i/>
                            <w:iCs/>
                            <w:color w:val="18140C"/>
                            <w:sz w:val="27"/>
                            <w:szCs w:val="27"/>
                            <w:lang w:eastAsia="fr-FR"/>
                          </w:rPr>
                          <w:t> </w:t>
                        </w:r>
                        <w:r w:rsidRPr="001F3A68">
                          <w:rPr>
                            <w:rFonts w:ascii="Helvetica" w:eastAsia="Times New Roman" w:hAnsi="Helvetica" w:cs="Times New Roman"/>
                            <w:color w:val="18140C"/>
                            <w:sz w:val="27"/>
                            <w:szCs w:val="27"/>
                            <w:lang w:eastAsia="fr-FR"/>
                          </w:rPr>
                          <w:t xml:space="preserve">Parce qu'il constitue une modification </w:t>
                        </w:r>
                        <w:r w:rsidRPr="001F3A68">
                          <w:rPr>
                            <w:rFonts w:ascii="Helvetica" w:eastAsia="Times New Roman" w:hAnsi="Helvetica" w:cs="Times New Roman"/>
                            <w:color w:val="18140C"/>
                            <w:sz w:val="27"/>
                            <w:szCs w:val="27"/>
                            <w:lang w:eastAsia="fr-FR"/>
                          </w:rPr>
                          <w:lastRenderedPageBreak/>
                          <w:t>d'ampleur, ce "</w:t>
                        </w:r>
                        <w:proofErr w:type="spellStart"/>
                        <w:r w:rsidRPr="001F3A68">
                          <w:rPr>
                            <w:rFonts w:ascii="Helvetica" w:eastAsia="Times New Roman" w:hAnsi="Helvetica" w:cs="Times New Roman"/>
                            <w:color w:val="18140C"/>
                            <w:sz w:val="27"/>
                            <w:szCs w:val="27"/>
                            <w:lang w:eastAsia="fr-FR"/>
                          </w:rPr>
                          <w:t>repowering</w:t>
                        </w:r>
                        <w:proofErr w:type="spellEnd"/>
                        <w:r w:rsidRPr="001F3A68">
                          <w:rPr>
                            <w:rFonts w:ascii="Helvetica" w:eastAsia="Times New Roman" w:hAnsi="Helvetica" w:cs="Times New Roman"/>
                            <w:color w:val="18140C"/>
                            <w:sz w:val="27"/>
                            <w:szCs w:val="27"/>
                            <w:lang w:eastAsia="fr-FR"/>
                          </w:rPr>
                          <w:t>" ne peut se faire sans une nouvelle étude d'impact et une nouvelle enquête publique !</w:t>
                        </w:r>
                        <w:r w:rsidRPr="001F3A68">
                          <w:rPr>
                            <w:rFonts w:ascii="Helvetica" w:eastAsia="Times New Roman" w:hAnsi="Helvetica" w:cs="Times New Roman"/>
                            <w:color w:val="18140C"/>
                            <w:sz w:val="27"/>
                            <w:szCs w:val="27"/>
                            <w:lang w:eastAsia="fr-FR"/>
                          </w:rPr>
                          <w:br/>
                        </w:r>
                        <w:r w:rsidRPr="001F3A68">
                          <w:rPr>
                            <w:rFonts w:ascii="Helvetica" w:eastAsia="Times New Roman" w:hAnsi="Helvetica" w:cs="Times New Roman"/>
                            <w:color w:val="18140C"/>
                            <w:sz w:val="27"/>
                            <w:szCs w:val="27"/>
                            <w:lang w:eastAsia="fr-FR"/>
                          </w:rPr>
                          <w:br/>
                        </w:r>
                        <w:r w:rsidRPr="001F3A68">
                          <w:rPr>
                            <w:rFonts w:ascii="Helvetica" w:eastAsia="Times New Roman" w:hAnsi="Helvetica" w:cs="Times New Roman"/>
                            <w:b/>
                            <w:bCs/>
                            <w:color w:val="18140C"/>
                            <w:sz w:val="27"/>
                            <w:szCs w:val="27"/>
                            <w:lang w:eastAsia="fr-FR"/>
                          </w:rPr>
                          <w:t>Ce recours juridique est crucial : il pourra servir d'exemple dans tous les projets de "</w:t>
                        </w:r>
                        <w:proofErr w:type="spellStart"/>
                        <w:r w:rsidRPr="001F3A68">
                          <w:rPr>
                            <w:rFonts w:ascii="Helvetica" w:eastAsia="Times New Roman" w:hAnsi="Helvetica" w:cs="Times New Roman"/>
                            <w:b/>
                            <w:bCs/>
                            <w:color w:val="18140C"/>
                            <w:sz w:val="27"/>
                            <w:szCs w:val="27"/>
                            <w:lang w:eastAsia="fr-FR"/>
                          </w:rPr>
                          <w:t>repowering</w:t>
                        </w:r>
                        <w:proofErr w:type="spellEnd"/>
                        <w:r w:rsidRPr="001F3A68">
                          <w:rPr>
                            <w:rFonts w:ascii="Helvetica" w:eastAsia="Times New Roman" w:hAnsi="Helvetica" w:cs="Times New Roman"/>
                            <w:b/>
                            <w:bCs/>
                            <w:color w:val="18140C"/>
                            <w:sz w:val="27"/>
                            <w:szCs w:val="27"/>
                            <w:lang w:eastAsia="fr-FR"/>
                          </w:rPr>
                          <w:t>" en Occitanie. </w:t>
                        </w:r>
                      </w:p>
                      <w:p w:rsidR="001F3A68" w:rsidRPr="001F3A68" w:rsidRDefault="001F3A68" w:rsidP="001F3A68">
                        <w:pPr>
                          <w:spacing w:line="315" w:lineRule="atLeast"/>
                          <w:rPr>
                            <w:rFonts w:ascii="Helvetica" w:eastAsia="Times New Roman" w:hAnsi="Helvetica" w:cs="Times New Roman"/>
                            <w:color w:val="18140C"/>
                            <w:sz w:val="21"/>
                            <w:szCs w:val="21"/>
                            <w:lang w:eastAsia="fr-FR"/>
                          </w:rPr>
                        </w:pPr>
                        <w:r w:rsidRPr="001F3A68">
                          <w:rPr>
                            <w:rFonts w:ascii="Helvetica" w:eastAsia="Times New Roman" w:hAnsi="Helvetica" w:cs="Times New Roman"/>
                            <w:color w:val="18140C"/>
                            <w:sz w:val="21"/>
                            <w:szCs w:val="21"/>
                            <w:lang w:eastAsia="fr-FR"/>
                          </w:rPr>
                          <w:br/>
                        </w:r>
                        <w:r w:rsidRPr="001F3A68">
                          <w:rPr>
                            <w:rFonts w:ascii="Helvetica" w:eastAsia="Times New Roman" w:hAnsi="Helvetica" w:cs="Times New Roman"/>
                            <w:b/>
                            <w:bCs/>
                            <w:color w:val="18140C"/>
                            <w:sz w:val="27"/>
                            <w:szCs w:val="27"/>
                            <w:lang w:eastAsia="fr-FR"/>
                          </w:rPr>
                          <w:t>Pour le mener à bien, </w:t>
                        </w:r>
                        <w:r w:rsidRPr="001F3A68">
                          <w:rPr>
                            <w:rFonts w:ascii="Helvetica" w:eastAsia="Times New Roman" w:hAnsi="Helvetica" w:cs="Times New Roman"/>
                            <w:color w:val="18140C"/>
                            <w:sz w:val="27"/>
                            <w:szCs w:val="27"/>
                            <w:lang w:eastAsia="fr-FR"/>
                          </w:rPr>
                          <w:t>pour nous aider à couvrir les frais d'avocat (entre 6000 et 7000 €)</w:t>
                        </w:r>
                        <w:r w:rsidRPr="001F3A68">
                          <w:rPr>
                            <w:rFonts w:ascii="Helvetica" w:eastAsia="Times New Roman" w:hAnsi="Helvetica" w:cs="Times New Roman"/>
                            <w:b/>
                            <w:bCs/>
                            <w:color w:val="18140C"/>
                            <w:sz w:val="27"/>
                            <w:szCs w:val="27"/>
                            <w:lang w:eastAsia="fr-FR"/>
                          </w:rPr>
                          <w:t> nous avons besoin de vous !</w:t>
                        </w:r>
                        <w:r w:rsidRPr="001F3A68">
                          <w:rPr>
                            <w:rFonts w:ascii="Helvetica" w:eastAsia="Times New Roman" w:hAnsi="Helvetica" w:cs="Times New Roman"/>
                            <w:color w:val="18140C"/>
                            <w:sz w:val="27"/>
                            <w:szCs w:val="27"/>
                            <w:lang w:eastAsia="fr-FR"/>
                          </w:rPr>
                          <w:t> </w:t>
                        </w:r>
                      </w:p>
                    </w:tc>
                  </w:tr>
                </w:tbl>
                <w:p w:rsidR="001F3A68" w:rsidRPr="001F3A68" w:rsidRDefault="001F3A68" w:rsidP="001F3A68">
                  <w:pPr>
                    <w:rPr>
                      <w:rFonts w:ascii="Times New Roman" w:eastAsia="Times New Roman" w:hAnsi="Times New Roman" w:cs="Times New Roman"/>
                      <w:lang w:eastAsia="fr-FR"/>
                    </w:rPr>
                  </w:pPr>
                </w:p>
              </w:tc>
            </w:tr>
          </w:tbl>
          <w:p w:rsidR="001F3A68" w:rsidRPr="001F3A68" w:rsidRDefault="001F3A68" w:rsidP="001F3A68">
            <w:pPr>
              <w:rPr>
                <w:rFonts w:ascii="TimesNewRomanPSMT" w:eastAsia="Times New Roman" w:hAnsi="TimesNewRomanPSMT" w:cs="TimesNewRomanPSMT"/>
                <w:color w:val="000000"/>
                <w:sz w:val="21"/>
                <w:szCs w:val="21"/>
                <w:lang w:eastAsia="fr-FR"/>
              </w:rPr>
            </w:pPr>
          </w:p>
        </w:tc>
      </w:tr>
    </w:tbl>
    <w:p w:rsidR="001F3A68" w:rsidRPr="001F3A68" w:rsidRDefault="001F3A68" w:rsidP="001F3A68">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460"/>
      </w:tblGrid>
      <w:tr w:rsidR="001F3A68" w:rsidRPr="001F3A68" w:rsidTr="001F3A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1F3A68" w:rsidRPr="001F3A68">
              <w:tc>
                <w:tcPr>
                  <w:tcW w:w="0" w:type="auto"/>
                  <w:tcMar>
                    <w:top w:w="135" w:type="dxa"/>
                    <w:left w:w="270" w:type="dxa"/>
                    <w:bottom w:w="135" w:type="dxa"/>
                    <w:right w:w="270" w:type="dxa"/>
                  </w:tcMar>
                  <w:vAlign w:val="center"/>
                  <w:hideMark/>
                </w:tcPr>
                <w:tbl>
                  <w:tblPr>
                    <w:tblW w:w="5000" w:type="pct"/>
                    <w:shd w:val="clear" w:color="auto" w:fill="FFC73A"/>
                    <w:tblCellMar>
                      <w:top w:w="15" w:type="dxa"/>
                      <w:left w:w="15" w:type="dxa"/>
                      <w:bottom w:w="15" w:type="dxa"/>
                      <w:right w:w="15" w:type="dxa"/>
                    </w:tblCellMar>
                    <w:tblLook w:val="04A0" w:firstRow="1" w:lastRow="0" w:firstColumn="1" w:lastColumn="0" w:noHBand="0" w:noVBand="1"/>
                  </w:tblPr>
                  <w:tblGrid>
                    <w:gridCol w:w="9920"/>
                  </w:tblGrid>
                  <w:tr w:rsidR="001F3A68" w:rsidRPr="001F3A68">
                    <w:tc>
                      <w:tcPr>
                        <w:tcW w:w="0" w:type="auto"/>
                        <w:shd w:val="clear" w:color="auto" w:fill="FFC73A"/>
                        <w:tcMar>
                          <w:top w:w="270" w:type="dxa"/>
                          <w:left w:w="270" w:type="dxa"/>
                          <w:bottom w:w="270" w:type="dxa"/>
                          <w:right w:w="270" w:type="dxa"/>
                        </w:tcMar>
                        <w:hideMark/>
                      </w:tcPr>
                      <w:p w:rsidR="001F3A68" w:rsidRPr="001F3A68" w:rsidRDefault="001F3A68" w:rsidP="001F3A68">
                        <w:pPr>
                          <w:spacing w:before="150" w:after="150" w:line="360" w:lineRule="atLeast"/>
                          <w:jc w:val="center"/>
                          <w:rPr>
                            <w:rFonts w:ascii="Helvetica" w:eastAsia="Times New Roman" w:hAnsi="Helvetica" w:cs="Times New Roman"/>
                            <w:color w:val="18140C"/>
                            <w:lang w:eastAsia="fr-FR"/>
                          </w:rPr>
                        </w:pPr>
                        <w:r w:rsidRPr="001F3A68">
                          <w:rPr>
                            <w:rFonts w:ascii="Helvetica" w:eastAsia="Times New Roman" w:hAnsi="Helvetica" w:cs="Times New Roman"/>
                            <w:color w:val="18140C"/>
                            <w:sz w:val="27"/>
                            <w:szCs w:val="27"/>
                            <w:lang w:eastAsia="fr-FR"/>
                          </w:rPr>
                          <w:t>Votre soutien financier sera le bienvenu</w:t>
                        </w:r>
                      </w:p>
                      <w:p w:rsidR="001F3A68" w:rsidRPr="001F3A68" w:rsidRDefault="001F3A68" w:rsidP="001F3A68">
                        <w:pPr>
                          <w:numPr>
                            <w:ilvl w:val="0"/>
                            <w:numId w:val="1"/>
                          </w:numPr>
                          <w:spacing w:before="100" w:beforeAutospacing="1" w:after="100" w:afterAutospacing="1" w:line="360" w:lineRule="atLeast"/>
                          <w:rPr>
                            <w:rFonts w:ascii="Helvetica" w:eastAsia="Times New Roman" w:hAnsi="Helvetica" w:cs="Times New Roman"/>
                            <w:color w:val="18140C"/>
                            <w:lang w:eastAsia="fr-FR"/>
                          </w:rPr>
                        </w:pPr>
                        <w:r w:rsidRPr="001F3A68">
                          <w:rPr>
                            <w:rFonts w:ascii="Helvetica" w:eastAsia="Times New Roman" w:hAnsi="Helvetica" w:cs="Times New Roman"/>
                            <w:color w:val="18140C"/>
                            <w:sz w:val="27"/>
                            <w:szCs w:val="27"/>
                            <w:lang w:eastAsia="fr-FR"/>
                          </w:rPr>
                          <w:t>soit </w:t>
                        </w:r>
                        <w:r w:rsidRPr="001F3A68">
                          <w:rPr>
                            <w:rFonts w:ascii="Helvetica" w:eastAsia="Times New Roman" w:hAnsi="Helvetica" w:cs="Times New Roman"/>
                            <w:b/>
                            <w:bCs/>
                            <w:color w:val="18140C"/>
                            <w:sz w:val="27"/>
                            <w:szCs w:val="27"/>
                            <w:lang w:eastAsia="fr-FR"/>
                          </w:rPr>
                          <w:t>par carte bancaire</w:t>
                        </w:r>
                        <w:r w:rsidRPr="001F3A68">
                          <w:rPr>
                            <w:rFonts w:ascii="Helvetica" w:eastAsia="Times New Roman" w:hAnsi="Helvetica" w:cs="Times New Roman"/>
                            <w:color w:val="18140C"/>
                            <w:sz w:val="27"/>
                            <w:szCs w:val="27"/>
                            <w:lang w:eastAsia="fr-FR"/>
                          </w:rPr>
                          <w:t xml:space="preserve">, via la plateforme </w:t>
                        </w:r>
                        <w:proofErr w:type="spellStart"/>
                        <w:r w:rsidRPr="001F3A68">
                          <w:rPr>
                            <w:rFonts w:ascii="Helvetica" w:eastAsia="Times New Roman" w:hAnsi="Helvetica" w:cs="Times New Roman"/>
                            <w:color w:val="18140C"/>
                            <w:sz w:val="27"/>
                            <w:szCs w:val="27"/>
                            <w:lang w:eastAsia="fr-FR"/>
                          </w:rPr>
                          <w:t>Helloasso</w:t>
                        </w:r>
                        <w:proofErr w:type="spellEnd"/>
                        <w:r w:rsidRPr="001F3A68">
                          <w:rPr>
                            <w:rFonts w:ascii="Helvetica" w:eastAsia="Times New Roman" w:hAnsi="Helvetica" w:cs="Times New Roman"/>
                            <w:color w:val="18140C"/>
                            <w:sz w:val="27"/>
                            <w:szCs w:val="27"/>
                            <w:lang w:eastAsia="fr-FR"/>
                          </w:rPr>
                          <w:t xml:space="preserve"> par le lien </w:t>
                        </w:r>
                        <w:hyperlink r:id="rId5" w:history="1">
                          <w:r w:rsidRPr="001F3A68">
                            <w:rPr>
                              <w:rFonts w:ascii="Helvetica" w:eastAsia="Times New Roman" w:hAnsi="Helvetica" w:cs="Times New Roman"/>
                              <w:color w:val="007C89"/>
                              <w:sz w:val="27"/>
                              <w:szCs w:val="27"/>
                              <w:u w:val="single"/>
                              <w:lang w:eastAsia="fr-FR"/>
                            </w:rPr>
                            <w:t>https://www.helloasso.com/associations/occitanie-energies-environnement/formulaires/1</w:t>
                          </w:r>
                        </w:hyperlink>
                      </w:p>
                      <w:p w:rsidR="001F3A68" w:rsidRPr="001F3A68" w:rsidRDefault="001F3A68" w:rsidP="001F3A68">
                        <w:pPr>
                          <w:numPr>
                            <w:ilvl w:val="0"/>
                            <w:numId w:val="1"/>
                          </w:numPr>
                          <w:spacing w:before="100" w:beforeAutospacing="1" w:after="100" w:afterAutospacing="1" w:line="360" w:lineRule="atLeast"/>
                          <w:rPr>
                            <w:rFonts w:ascii="Helvetica" w:eastAsia="Times New Roman" w:hAnsi="Helvetica" w:cs="Times New Roman"/>
                            <w:color w:val="18140C"/>
                            <w:lang w:eastAsia="fr-FR"/>
                          </w:rPr>
                        </w:pPr>
                        <w:proofErr w:type="gramStart"/>
                        <w:r w:rsidRPr="001F3A68">
                          <w:rPr>
                            <w:rFonts w:ascii="Helvetica" w:eastAsia="Times New Roman" w:hAnsi="Helvetica" w:cs="Times New Roman"/>
                            <w:color w:val="18140C"/>
                            <w:sz w:val="27"/>
                            <w:szCs w:val="27"/>
                            <w:lang w:eastAsia="fr-FR"/>
                          </w:rPr>
                          <w:t>soit</w:t>
                        </w:r>
                        <w:proofErr w:type="gramEnd"/>
                        <w:r w:rsidRPr="001F3A68">
                          <w:rPr>
                            <w:rFonts w:ascii="Helvetica" w:eastAsia="Times New Roman" w:hAnsi="Helvetica" w:cs="Times New Roman"/>
                            <w:color w:val="18140C"/>
                            <w:sz w:val="27"/>
                            <w:szCs w:val="27"/>
                            <w:lang w:eastAsia="fr-FR"/>
                          </w:rPr>
                          <w:t> </w:t>
                        </w:r>
                        <w:r w:rsidRPr="001F3A68">
                          <w:rPr>
                            <w:rFonts w:ascii="Helvetica" w:eastAsia="Times New Roman" w:hAnsi="Helvetica" w:cs="Times New Roman"/>
                            <w:b/>
                            <w:bCs/>
                            <w:color w:val="18140C"/>
                            <w:sz w:val="27"/>
                            <w:szCs w:val="27"/>
                            <w:lang w:eastAsia="fr-FR"/>
                          </w:rPr>
                          <w:t>par chèque</w:t>
                        </w:r>
                        <w:r w:rsidRPr="001F3A68">
                          <w:rPr>
                            <w:rFonts w:ascii="Helvetica" w:eastAsia="Times New Roman" w:hAnsi="Helvetica" w:cs="Times New Roman"/>
                            <w:color w:val="18140C"/>
                            <w:sz w:val="27"/>
                            <w:szCs w:val="27"/>
                            <w:lang w:eastAsia="fr-FR"/>
                          </w:rPr>
                          <w:t> à l’ordre de l’association OC.2E, adressé à </w:t>
                        </w:r>
                        <w:r w:rsidRPr="001F3A68">
                          <w:rPr>
                            <w:rFonts w:ascii="Helvetica" w:eastAsia="Times New Roman" w:hAnsi="Helvetica" w:cs="Times New Roman"/>
                            <w:b/>
                            <w:bCs/>
                            <w:color w:val="18140C"/>
                            <w:sz w:val="27"/>
                            <w:szCs w:val="27"/>
                            <w:lang w:eastAsia="fr-FR"/>
                          </w:rPr>
                          <w:t xml:space="preserve">Jean </w:t>
                        </w:r>
                        <w:proofErr w:type="spellStart"/>
                        <w:r w:rsidRPr="001F3A68">
                          <w:rPr>
                            <w:rFonts w:ascii="Helvetica" w:eastAsia="Times New Roman" w:hAnsi="Helvetica" w:cs="Times New Roman"/>
                            <w:b/>
                            <w:bCs/>
                            <w:color w:val="18140C"/>
                            <w:sz w:val="27"/>
                            <w:szCs w:val="27"/>
                            <w:lang w:eastAsia="fr-FR"/>
                          </w:rPr>
                          <w:t>Pougnet</w:t>
                        </w:r>
                        <w:proofErr w:type="spellEnd"/>
                        <w:r w:rsidRPr="001F3A68">
                          <w:rPr>
                            <w:rFonts w:ascii="Helvetica" w:eastAsia="Times New Roman" w:hAnsi="Helvetica" w:cs="Times New Roman"/>
                            <w:b/>
                            <w:bCs/>
                            <w:color w:val="18140C"/>
                            <w:sz w:val="27"/>
                            <w:szCs w:val="27"/>
                            <w:lang w:eastAsia="fr-FR"/>
                          </w:rPr>
                          <w:t xml:space="preserve"> hameau de </w:t>
                        </w:r>
                        <w:proofErr w:type="spellStart"/>
                        <w:r w:rsidRPr="001F3A68">
                          <w:rPr>
                            <w:rFonts w:ascii="Helvetica" w:eastAsia="Times New Roman" w:hAnsi="Helvetica" w:cs="Times New Roman"/>
                            <w:b/>
                            <w:bCs/>
                            <w:color w:val="18140C"/>
                            <w:sz w:val="27"/>
                            <w:szCs w:val="27"/>
                            <w:lang w:eastAsia="fr-FR"/>
                          </w:rPr>
                          <w:t>Goutine</w:t>
                        </w:r>
                        <w:proofErr w:type="spellEnd"/>
                        <w:r w:rsidRPr="001F3A68">
                          <w:rPr>
                            <w:rFonts w:ascii="Helvetica" w:eastAsia="Times New Roman" w:hAnsi="Helvetica" w:cs="Times New Roman"/>
                            <w:b/>
                            <w:bCs/>
                            <w:color w:val="18140C"/>
                            <w:sz w:val="27"/>
                            <w:szCs w:val="27"/>
                            <w:lang w:eastAsia="fr-FR"/>
                          </w:rPr>
                          <w:t xml:space="preserve"> de Maur</w:t>
                        </w:r>
                        <w:r w:rsidRPr="001F3A68">
                          <w:rPr>
                            <w:rFonts w:ascii="Helvetica" w:eastAsia="Times New Roman" w:hAnsi="Helvetica" w:cs="Times New Roman"/>
                            <w:b/>
                            <w:bCs/>
                            <w:color w:val="18140C"/>
                            <w:sz w:val="27"/>
                            <w:szCs w:val="27"/>
                            <w:lang w:eastAsia="fr-FR"/>
                          </w:rPr>
                          <w:br/>
                          <w:t xml:space="preserve">ancienne école 34330 La </w:t>
                        </w:r>
                        <w:proofErr w:type="spellStart"/>
                        <w:r w:rsidRPr="001F3A68">
                          <w:rPr>
                            <w:rFonts w:ascii="Helvetica" w:eastAsia="Times New Roman" w:hAnsi="Helvetica" w:cs="Times New Roman"/>
                            <w:b/>
                            <w:bCs/>
                            <w:color w:val="18140C"/>
                            <w:sz w:val="27"/>
                            <w:szCs w:val="27"/>
                            <w:lang w:eastAsia="fr-FR"/>
                          </w:rPr>
                          <w:t>Salvetat</w:t>
                        </w:r>
                        <w:proofErr w:type="spellEnd"/>
                        <w:r w:rsidRPr="001F3A68">
                          <w:rPr>
                            <w:rFonts w:ascii="Helvetica" w:eastAsia="Times New Roman" w:hAnsi="Helvetica" w:cs="Times New Roman"/>
                            <w:b/>
                            <w:bCs/>
                            <w:color w:val="18140C"/>
                            <w:sz w:val="27"/>
                            <w:szCs w:val="27"/>
                            <w:lang w:eastAsia="fr-FR"/>
                          </w:rPr>
                          <w:t xml:space="preserve"> sur Agout</w:t>
                        </w:r>
                      </w:p>
                      <w:p w:rsidR="001F3A68" w:rsidRPr="001F3A68" w:rsidRDefault="001F3A68" w:rsidP="001F3A68">
                        <w:pPr>
                          <w:spacing w:line="360" w:lineRule="atLeast"/>
                          <w:rPr>
                            <w:rFonts w:ascii="Helvetica" w:eastAsia="Times New Roman" w:hAnsi="Helvetica" w:cs="Times New Roman"/>
                            <w:color w:val="18140C"/>
                            <w:lang w:eastAsia="fr-FR"/>
                          </w:rPr>
                        </w:pPr>
                        <w:r w:rsidRPr="001F3A68">
                          <w:rPr>
                            <w:rFonts w:ascii="Helvetica" w:eastAsia="Times New Roman" w:hAnsi="Helvetica" w:cs="Times New Roman"/>
                            <w:color w:val="18140C"/>
                            <w:sz w:val="27"/>
                            <w:szCs w:val="27"/>
                            <w:lang w:eastAsia="fr-FR"/>
                          </w:rPr>
                          <w:t xml:space="preserve">Quel que soit le mode de paiement vous recevrez un reçu fiscal au nom de OC.2E (directement par la plateforme </w:t>
                        </w:r>
                        <w:proofErr w:type="spellStart"/>
                        <w:r w:rsidRPr="001F3A68">
                          <w:rPr>
                            <w:rFonts w:ascii="Helvetica" w:eastAsia="Times New Roman" w:hAnsi="Helvetica" w:cs="Times New Roman"/>
                            <w:color w:val="18140C"/>
                            <w:sz w:val="27"/>
                            <w:szCs w:val="27"/>
                            <w:lang w:eastAsia="fr-FR"/>
                          </w:rPr>
                          <w:t>Helloasso</w:t>
                        </w:r>
                        <w:proofErr w:type="spellEnd"/>
                        <w:r w:rsidRPr="001F3A68">
                          <w:rPr>
                            <w:rFonts w:ascii="Helvetica" w:eastAsia="Times New Roman" w:hAnsi="Helvetica" w:cs="Times New Roman"/>
                            <w:color w:val="18140C"/>
                            <w:sz w:val="27"/>
                            <w:szCs w:val="27"/>
                            <w:lang w:eastAsia="fr-FR"/>
                          </w:rPr>
                          <w:t>, ou par courrier) vous ouvrant une réduction d’impôts de 66 % (un don de 50€ ne vous coûtant alors que 17€).</w:t>
                        </w:r>
                      </w:p>
                    </w:tc>
                  </w:tr>
                </w:tbl>
                <w:p w:rsidR="001F3A68" w:rsidRPr="001F3A68" w:rsidRDefault="001F3A68" w:rsidP="001F3A68">
                  <w:pPr>
                    <w:rPr>
                      <w:rFonts w:ascii="Times New Roman" w:eastAsia="Times New Roman" w:hAnsi="Times New Roman" w:cs="Times New Roman"/>
                      <w:lang w:eastAsia="fr-FR"/>
                    </w:rPr>
                  </w:pPr>
                </w:p>
              </w:tc>
            </w:tr>
          </w:tbl>
          <w:p w:rsidR="001F3A68" w:rsidRPr="001F3A68" w:rsidRDefault="001F3A68" w:rsidP="001F3A68">
            <w:pPr>
              <w:rPr>
                <w:rFonts w:ascii="TimesNewRomanPSMT" w:eastAsia="Times New Roman" w:hAnsi="TimesNewRomanPSMT" w:cs="TimesNewRomanPSMT"/>
                <w:color w:val="000000"/>
                <w:sz w:val="21"/>
                <w:szCs w:val="21"/>
                <w:lang w:eastAsia="fr-FR"/>
              </w:rPr>
            </w:pPr>
          </w:p>
        </w:tc>
      </w:tr>
    </w:tbl>
    <w:p w:rsidR="001F3A68" w:rsidRPr="001F3A68" w:rsidRDefault="001F3A68" w:rsidP="001F3A68">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460"/>
      </w:tblGrid>
      <w:tr w:rsidR="001F3A68" w:rsidRPr="001F3A68" w:rsidTr="001F3A6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1F3A68" w:rsidRPr="001F3A68">
              <w:tc>
                <w:tcPr>
                  <w:tcW w:w="0" w:type="auto"/>
                  <w:tcMar>
                    <w:top w:w="135" w:type="dxa"/>
                    <w:left w:w="270" w:type="dxa"/>
                    <w:bottom w:w="135" w:type="dxa"/>
                    <w:right w:w="270" w:type="dxa"/>
                  </w:tcMar>
                  <w:vAlign w:val="center"/>
                  <w:hideMark/>
                </w:tcPr>
                <w:tbl>
                  <w:tblPr>
                    <w:tblW w:w="5000" w:type="pct"/>
                    <w:shd w:val="clear" w:color="auto" w:fill="5ED58D"/>
                    <w:tblCellMar>
                      <w:top w:w="15" w:type="dxa"/>
                      <w:left w:w="15" w:type="dxa"/>
                      <w:bottom w:w="15" w:type="dxa"/>
                      <w:right w:w="15" w:type="dxa"/>
                    </w:tblCellMar>
                    <w:tblLook w:val="04A0" w:firstRow="1" w:lastRow="0" w:firstColumn="1" w:lastColumn="0" w:noHBand="0" w:noVBand="1"/>
                  </w:tblPr>
                  <w:tblGrid>
                    <w:gridCol w:w="9920"/>
                  </w:tblGrid>
                  <w:tr w:rsidR="001F3A68" w:rsidRPr="001F3A68">
                    <w:tc>
                      <w:tcPr>
                        <w:tcW w:w="0" w:type="auto"/>
                        <w:shd w:val="clear" w:color="auto" w:fill="5ED58D"/>
                        <w:tcMar>
                          <w:top w:w="270" w:type="dxa"/>
                          <w:left w:w="270" w:type="dxa"/>
                          <w:bottom w:w="270" w:type="dxa"/>
                          <w:right w:w="270" w:type="dxa"/>
                        </w:tcMar>
                        <w:hideMark/>
                      </w:tcPr>
                      <w:p w:rsidR="001F3A68" w:rsidRPr="001F3A68" w:rsidRDefault="001F3A68" w:rsidP="001F3A68">
                        <w:pPr>
                          <w:spacing w:before="150" w:after="150" w:line="315" w:lineRule="atLeast"/>
                          <w:jc w:val="center"/>
                          <w:rPr>
                            <w:rFonts w:ascii="Helvetica" w:eastAsia="Times New Roman" w:hAnsi="Helvetica" w:cs="Times New Roman"/>
                            <w:color w:val="18140C"/>
                            <w:sz w:val="21"/>
                            <w:szCs w:val="21"/>
                            <w:lang w:eastAsia="fr-FR"/>
                          </w:rPr>
                        </w:pPr>
                        <w:r w:rsidRPr="001F3A68">
                          <w:rPr>
                            <w:rFonts w:ascii="Helvetica" w:eastAsia="Times New Roman" w:hAnsi="Helvetica" w:cs="Times New Roman"/>
                            <w:b/>
                            <w:bCs/>
                            <w:color w:val="18140C"/>
                            <w:sz w:val="27"/>
                            <w:szCs w:val="27"/>
                            <w:lang w:eastAsia="fr-FR"/>
                          </w:rPr>
                          <w:t>Agissent dans ce recours</w:t>
                        </w:r>
                        <w:r w:rsidRPr="001F3A68">
                          <w:rPr>
                            <w:rFonts w:ascii="Helvetica" w:eastAsia="Times New Roman" w:hAnsi="Helvetica" w:cs="Times New Roman"/>
                            <w:color w:val="18140C"/>
                            <w:sz w:val="27"/>
                            <w:szCs w:val="27"/>
                            <w:lang w:eastAsia="fr-FR"/>
                          </w:rPr>
                          <w:t>,</w:t>
                        </w:r>
                      </w:p>
                      <w:p w:rsidR="001F3A68" w:rsidRPr="001F3A68" w:rsidRDefault="001F3A68" w:rsidP="001F3A68">
                        <w:pPr>
                          <w:numPr>
                            <w:ilvl w:val="0"/>
                            <w:numId w:val="2"/>
                          </w:numPr>
                          <w:spacing w:before="100" w:beforeAutospacing="1" w:after="100" w:afterAutospacing="1" w:line="315" w:lineRule="atLeast"/>
                          <w:rPr>
                            <w:rFonts w:ascii="Helvetica" w:eastAsia="Times New Roman" w:hAnsi="Helvetica" w:cs="Times New Roman"/>
                            <w:color w:val="18140C"/>
                            <w:sz w:val="21"/>
                            <w:szCs w:val="21"/>
                            <w:lang w:eastAsia="fr-FR"/>
                          </w:rPr>
                        </w:pPr>
                        <w:r w:rsidRPr="001F3A68">
                          <w:rPr>
                            <w:rFonts w:ascii="Helvetica" w:eastAsia="Times New Roman" w:hAnsi="Helvetica" w:cs="Times New Roman"/>
                            <w:color w:val="18140C"/>
                            <w:sz w:val="27"/>
                            <w:szCs w:val="27"/>
                            <w:lang w:eastAsia="fr-FR"/>
                          </w:rPr>
                          <w:t>Le collectif régional </w:t>
                        </w:r>
                        <w:r w:rsidRPr="001F3A68">
                          <w:rPr>
                            <w:rFonts w:ascii="Helvetica" w:eastAsia="Times New Roman" w:hAnsi="Helvetica" w:cs="Times New Roman"/>
                            <w:b/>
                            <w:bCs/>
                            <w:color w:val="18140C"/>
                            <w:sz w:val="27"/>
                            <w:szCs w:val="27"/>
                            <w:lang w:eastAsia="fr-FR"/>
                          </w:rPr>
                          <w:t>Toutes Nos Énergies – Occitanie Environnement</w:t>
                        </w:r>
                        <w:r w:rsidRPr="001F3A68">
                          <w:rPr>
                            <w:rFonts w:ascii="Helvetica" w:eastAsia="Times New Roman" w:hAnsi="Helvetica" w:cs="Times New Roman"/>
                            <w:color w:val="18140C"/>
                            <w:sz w:val="27"/>
                            <w:szCs w:val="27"/>
                            <w:lang w:eastAsia="fr-FR"/>
                          </w:rPr>
                          <w:t> par la voix de </w:t>
                        </w:r>
                        <w:r w:rsidRPr="001F3A68">
                          <w:rPr>
                            <w:rFonts w:ascii="Helvetica" w:eastAsia="Times New Roman" w:hAnsi="Helvetica" w:cs="Times New Roman"/>
                            <w:b/>
                            <w:bCs/>
                            <w:color w:val="18140C"/>
                            <w:sz w:val="27"/>
                            <w:szCs w:val="27"/>
                            <w:lang w:eastAsia="fr-FR"/>
                          </w:rPr>
                          <w:t>OC.2E Occitanie Énergies Environnement</w:t>
                        </w:r>
                        <w:r w:rsidRPr="001F3A68">
                          <w:rPr>
                            <w:rFonts w:ascii="Helvetica" w:eastAsia="Times New Roman" w:hAnsi="Helvetica" w:cs="Times New Roman"/>
                            <w:color w:val="18140C"/>
                            <w:sz w:val="27"/>
                            <w:szCs w:val="27"/>
                            <w:lang w:eastAsia="fr-FR"/>
                          </w:rPr>
                          <w:t>, son association support juridique et financier.</w:t>
                        </w:r>
                      </w:p>
                      <w:p w:rsidR="001F3A68" w:rsidRPr="001F3A68" w:rsidRDefault="001F3A68" w:rsidP="001F3A68">
                        <w:pPr>
                          <w:numPr>
                            <w:ilvl w:val="0"/>
                            <w:numId w:val="2"/>
                          </w:numPr>
                          <w:spacing w:before="100" w:beforeAutospacing="1" w:after="100" w:afterAutospacing="1" w:line="315" w:lineRule="atLeast"/>
                          <w:rPr>
                            <w:rFonts w:ascii="Helvetica" w:eastAsia="Times New Roman" w:hAnsi="Helvetica" w:cs="Times New Roman"/>
                            <w:color w:val="18140C"/>
                            <w:sz w:val="21"/>
                            <w:szCs w:val="21"/>
                            <w:lang w:eastAsia="fr-FR"/>
                          </w:rPr>
                        </w:pPr>
                        <w:r w:rsidRPr="001F3A68">
                          <w:rPr>
                            <w:rFonts w:ascii="Helvetica" w:eastAsia="Times New Roman" w:hAnsi="Helvetica" w:cs="Times New Roman"/>
                            <w:color w:val="18140C"/>
                            <w:sz w:val="27"/>
                            <w:szCs w:val="27"/>
                            <w:lang w:eastAsia="fr-FR"/>
                          </w:rPr>
                          <w:t>L'association locale directement impactée : </w:t>
                        </w:r>
                        <w:r w:rsidRPr="001F3A68">
                          <w:rPr>
                            <w:rFonts w:ascii="Helvetica" w:eastAsia="Times New Roman" w:hAnsi="Helvetica" w:cs="Times New Roman"/>
                            <w:b/>
                            <w:bCs/>
                            <w:color w:val="18140C"/>
                            <w:sz w:val="27"/>
                            <w:szCs w:val="27"/>
                            <w:lang w:eastAsia="fr-FR"/>
                          </w:rPr>
                          <w:t> À CONTRE VENT</w:t>
                        </w:r>
                        <w:r w:rsidRPr="001F3A68">
                          <w:rPr>
                            <w:rFonts w:ascii="Helvetica" w:eastAsia="Times New Roman" w:hAnsi="Helvetica" w:cs="Times New Roman"/>
                            <w:color w:val="18140C"/>
                            <w:sz w:val="27"/>
                            <w:szCs w:val="27"/>
                            <w:lang w:eastAsia="fr-FR"/>
                          </w:rPr>
                          <w:t> (</w:t>
                        </w:r>
                        <w:proofErr w:type="spellStart"/>
                        <w:r w:rsidRPr="001F3A68">
                          <w:rPr>
                            <w:rFonts w:ascii="Helvetica" w:eastAsia="Times New Roman" w:hAnsi="Helvetica" w:cs="Times New Roman"/>
                            <w:color w:val="18140C"/>
                            <w:sz w:val="27"/>
                            <w:szCs w:val="27"/>
                            <w:lang w:eastAsia="fr-FR"/>
                          </w:rPr>
                          <w:t>Fraïsse</w:t>
                        </w:r>
                        <w:proofErr w:type="spellEnd"/>
                        <w:r w:rsidRPr="001F3A68">
                          <w:rPr>
                            <w:rFonts w:ascii="Helvetica" w:eastAsia="Times New Roman" w:hAnsi="Helvetica" w:cs="Times New Roman"/>
                            <w:color w:val="18140C"/>
                            <w:sz w:val="27"/>
                            <w:szCs w:val="27"/>
                            <w:lang w:eastAsia="fr-FR"/>
                          </w:rPr>
                          <w:t xml:space="preserve"> sur Agout - Hérault)</w:t>
                        </w:r>
                      </w:p>
                      <w:p w:rsidR="001F3A68" w:rsidRPr="001F3A68" w:rsidRDefault="001F3A68" w:rsidP="001F3A68">
                        <w:pPr>
                          <w:spacing w:before="150" w:after="150" w:line="315" w:lineRule="atLeast"/>
                          <w:jc w:val="center"/>
                          <w:rPr>
                            <w:rFonts w:ascii="Helvetica" w:eastAsia="Times New Roman" w:hAnsi="Helvetica" w:cs="Times New Roman"/>
                            <w:color w:val="18140C"/>
                            <w:sz w:val="21"/>
                            <w:szCs w:val="21"/>
                            <w:lang w:eastAsia="fr-FR"/>
                          </w:rPr>
                        </w:pPr>
                        <w:r w:rsidRPr="001F3A68">
                          <w:rPr>
                            <w:rFonts w:ascii="Helvetica" w:eastAsia="Times New Roman" w:hAnsi="Helvetica" w:cs="Times New Roman"/>
                            <w:b/>
                            <w:bCs/>
                            <w:color w:val="18140C"/>
                            <w:sz w:val="27"/>
                            <w:szCs w:val="27"/>
                            <w:lang w:eastAsia="fr-FR"/>
                          </w:rPr>
                          <w:t>Quel que soit le montant de votre don, il montrera la volonté et la solidarité des habitants d'Occitanie mobilisés pour la défense de notre patrimoine naturel et paysager commun.</w:t>
                        </w:r>
                      </w:p>
                      <w:p w:rsidR="001F3A68" w:rsidRPr="001F3A68" w:rsidRDefault="001F3A68" w:rsidP="001F3A68">
                        <w:pPr>
                          <w:spacing w:before="150" w:after="150" w:line="315" w:lineRule="atLeast"/>
                          <w:jc w:val="center"/>
                          <w:rPr>
                            <w:rFonts w:ascii="Helvetica" w:eastAsia="Times New Roman" w:hAnsi="Helvetica" w:cs="Times New Roman"/>
                            <w:color w:val="18140C"/>
                            <w:sz w:val="21"/>
                            <w:szCs w:val="21"/>
                            <w:lang w:eastAsia="fr-FR"/>
                          </w:rPr>
                        </w:pPr>
                        <w:r w:rsidRPr="001F3A68">
                          <w:rPr>
                            <w:rFonts w:ascii="Helvetica" w:eastAsia="Times New Roman" w:hAnsi="Helvetica" w:cs="Times New Roman"/>
                            <w:color w:val="18140C"/>
                            <w:sz w:val="27"/>
                            <w:szCs w:val="27"/>
                            <w:lang w:eastAsia="fr-FR"/>
                          </w:rPr>
                          <w:t>Par avance </w:t>
                        </w:r>
                        <w:r w:rsidRPr="001F3A68">
                          <w:rPr>
                            <w:rFonts w:ascii="Helvetica" w:eastAsia="Times New Roman" w:hAnsi="Helvetica" w:cs="Times New Roman"/>
                            <w:b/>
                            <w:bCs/>
                            <w:color w:val="18140C"/>
                            <w:sz w:val="27"/>
                            <w:szCs w:val="27"/>
                            <w:lang w:eastAsia="fr-FR"/>
                          </w:rPr>
                          <w:t>nous vous remercions pour votre geste et nous vous tiendrons informé des suites</w:t>
                        </w:r>
                        <w:r w:rsidRPr="001F3A68">
                          <w:rPr>
                            <w:rFonts w:ascii="Helvetica" w:eastAsia="Times New Roman" w:hAnsi="Helvetica" w:cs="Times New Roman"/>
                            <w:color w:val="18140C"/>
                            <w:sz w:val="27"/>
                            <w:szCs w:val="27"/>
                            <w:lang w:eastAsia="fr-FR"/>
                          </w:rPr>
                          <w:t>.</w:t>
                        </w:r>
                        <w:r w:rsidRPr="001F3A68">
                          <w:rPr>
                            <w:rFonts w:ascii="Helvetica" w:eastAsia="Times New Roman" w:hAnsi="Helvetica" w:cs="Times New Roman"/>
                            <w:color w:val="18140C"/>
                            <w:sz w:val="21"/>
                            <w:szCs w:val="21"/>
                            <w:lang w:eastAsia="fr-FR"/>
                          </w:rPr>
                          <w:br/>
                        </w:r>
                        <w:r w:rsidRPr="001F3A68">
                          <w:rPr>
                            <w:rFonts w:ascii="Helvetica" w:eastAsia="Times New Roman" w:hAnsi="Helvetica" w:cs="Times New Roman"/>
                            <w:color w:val="18140C"/>
                            <w:sz w:val="21"/>
                            <w:szCs w:val="21"/>
                            <w:lang w:eastAsia="fr-FR"/>
                          </w:rPr>
                          <w:br/>
                        </w:r>
                        <w:r w:rsidRPr="001F3A68">
                          <w:rPr>
                            <w:rFonts w:ascii="Helvetica" w:eastAsia="Times New Roman" w:hAnsi="Helvetica" w:cs="Times New Roman"/>
                            <w:color w:val="18140C"/>
                            <w:sz w:val="27"/>
                            <w:szCs w:val="27"/>
                            <w:lang w:eastAsia="fr-FR"/>
                          </w:rPr>
                          <w:t>Sur notre site</w:t>
                        </w:r>
                        <w:r w:rsidRPr="001F3A68">
                          <w:rPr>
                            <w:rFonts w:ascii="Helvetica" w:eastAsia="Times New Roman" w:hAnsi="Helvetica" w:cs="Times New Roman"/>
                            <w:color w:val="18140C"/>
                            <w:sz w:val="21"/>
                            <w:szCs w:val="21"/>
                            <w:lang w:eastAsia="fr-FR"/>
                          </w:rPr>
                          <w:t> :</w:t>
                        </w:r>
                        <w:r w:rsidRPr="001F3A68">
                          <w:rPr>
                            <w:rFonts w:ascii="Helvetica" w:eastAsia="Times New Roman" w:hAnsi="Helvetica" w:cs="Times New Roman"/>
                            <w:color w:val="18140C"/>
                            <w:sz w:val="27"/>
                            <w:szCs w:val="27"/>
                            <w:lang w:eastAsia="fr-FR"/>
                          </w:rPr>
                          <w:t> </w:t>
                        </w:r>
                        <w:hyperlink r:id="rId6" w:history="1">
                          <w:r w:rsidRPr="001F3A68">
                            <w:rPr>
                              <w:rFonts w:ascii="Helvetica" w:eastAsia="Times New Roman" w:hAnsi="Helvetica" w:cs="Times New Roman"/>
                              <w:color w:val="007C89"/>
                              <w:sz w:val="27"/>
                              <w:szCs w:val="27"/>
                              <w:u w:val="single"/>
                              <w:lang w:eastAsia="fr-FR"/>
                            </w:rPr>
                            <w:t>https://toutesnosenergies.fr</w:t>
                          </w:r>
                        </w:hyperlink>
                      </w:p>
                    </w:tc>
                  </w:tr>
                </w:tbl>
                <w:p w:rsidR="001F3A68" w:rsidRPr="001F3A68" w:rsidRDefault="001F3A68" w:rsidP="001F3A68">
                  <w:pPr>
                    <w:rPr>
                      <w:rFonts w:ascii="Times New Roman" w:eastAsia="Times New Roman" w:hAnsi="Times New Roman" w:cs="Times New Roman"/>
                      <w:lang w:eastAsia="fr-FR"/>
                    </w:rPr>
                  </w:pPr>
                </w:p>
              </w:tc>
            </w:tr>
          </w:tbl>
          <w:p w:rsidR="001F3A68" w:rsidRPr="001F3A68" w:rsidRDefault="001F3A68" w:rsidP="001F3A68">
            <w:pPr>
              <w:rPr>
                <w:rFonts w:ascii="TimesNewRomanPSMT" w:eastAsia="Times New Roman" w:hAnsi="TimesNewRomanPSMT" w:cs="TimesNewRomanPSMT"/>
                <w:color w:val="000000"/>
                <w:sz w:val="21"/>
                <w:szCs w:val="21"/>
                <w:lang w:eastAsia="fr-FR"/>
              </w:rPr>
            </w:pPr>
          </w:p>
        </w:tc>
      </w:tr>
    </w:tbl>
    <w:p w:rsidR="001F3A68" w:rsidRDefault="001F3A68"/>
    <w:sectPr w:rsidR="001F3A68" w:rsidSect="001F3A6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5324"/>
    <w:multiLevelType w:val="multilevel"/>
    <w:tmpl w:val="A6C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40B9D"/>
    <w:multiLevelType w:val="multilevel"/>
    <w:tmpl w:val="5AF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68"/>
    <w:rsid w:val="001F3A68"/>
    <w:rsid w:val="004F2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7D4F7E"/>
  <w15:chartTrackingRefBased/>
  <w15:docId w15:val="{06D83C7C-66C2-5B44-9111-DF211372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F3A6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3A68"/>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1F3A68"/>
  </w:style>
  <w:style w:type="character" w:styleId="lev">
    <w:name w:val="Strong"/>
    <w:basedOn w:val="Policepardfaut"/>
    <w:uiPriority w:val="22"/>
    <w:qFormat/>
    <w:rsid w:val="001F3A68"/>
    <w:rPr>
      <w:b/>
      <w:bCs/>
    </w:rPr>
  </w:style>
  <w:style w:type="character" w:styleId="Lienhypertexte">
    <w:name w:val="Hyperlink"/>
    <w:basedOn w:val="Policepardfaut"/>
    <w:uiPriority w:val="99"/>
    <w:semiHidden/>
    <w:unhideWhenUsed/>
    <w:rsid w:val="001F3A68"/>
    <w:rPr>
      <w:color w:val="0000FF"/>
      <w:u w:val="single"/>
    </w:rPr>
  </w:style>
  <w:style w:type="character" w:styleId="Accentuation">
    <w:name w:val="Emphasis"/>
    <w:basedOn w:val="Policepardfaut"/>
    <w:uiPriority w:val="20"/>
    <w:qFormat/>
    <w:rsid w:val="001F3A68"/>
    <w:rPr>
      <w:i/>
      <w:iCs/>
    </w:rPr>
  </w:style>
  <w:style w:type="paragraph" w:styleId="NormalWeb">
    <w:name w:val="Normal (Web)"/>
    <w:basedOn w:val="Normal"/>
    <w:uiPriority w:val="99"/>
    <w:semiHidden/>
    <w:unhideWhenUsed/>
    <w:rsid w:val="001F3A6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utesnosenergies.us19.list-manage.com/track/click?u=bbb0e4366228544d63107181b&amp;id=87d90ded81&amp;e=38f09f7320" TargetMode="External"/><Relationship Id="rId5" Type="http://schemas.openxmlformats.org/officeDocument/2006/relationships/hyperlink" Target="https://toutesnosenergies.us19.list-manage.com/track/click?u=bbb0e4366228544d63107181b&amp;id=91d572582c&amp;e=38f09f73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3030</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2023-07-26T10:32:00Z</dcterms:created>
  <dcterms:modified xsi:type="dcterms:W3CDTF">2023-07-26T10:37:00Z</dcterms:modified>
</cp:coreProperties>
</file>